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3958" w:type="dxa"/>
        <w:tblLayout w:type="fixed"/>
        <w:tblCellMar>
          <w:top w:w="100" w:type="dxa"/>
          <w:left w:w="120" w:type="dxa"/>
          <w:bottom w:w="100" w:type="dxa"/>
          <w:right w:w="120" w:type="dxa"/>
        </w:tblCellMar>
        <w:tblLook w:val="04A0" w:firstRow="1" w:lastRow="0" w:firstColumn="1" w:lastColumn="0" w:noHBand="0" w:noVBand="1"/>
      </w:tblPr>
      <w:tblGrid>
        <w:gridCol w:w="846"/>
        <w:gridCol w:w="1135"/>
        <w:gridCol w:w="4677"/>
        <w:gridCol w:w="4252"/>
        <w:gridCol w:w="1418"/>
        <w:gridCol w:w="1630"/>
      </w:tblGrid>
      <w:tr w:rsidR="00BC7204" w14:paraId="02A9F8E7" w14:textId="77777777">
        <w:trPr>
          <w:tblHeader/>
        </w:trPr>
        <w:tc>
          <w:tcPr>
            <w:tcW w:w="845" w:type="dxa"/>
            <w:tcBorders>
              <w:top w:val="single" w:sz="4" w:space="0" w:color="000000"/>
              <w:left w:val="single" w:sz="4" w:space="0" w:color="000000"/>
              <w:bottom w:val="single" w:sz="4" w:space="0" w:color="000000"/>
              <w:right w:val="single" w:sz="4" w:space="0" w:color="000000"/>
            </w:tcBorders>
            <w:shd w:val="pct10" w:color="auto" w:fill="auto"/>
          </w:tcPr>
          <w:p w14:paraId="02A9F8E0" w14:textId="77777777" w:rsidR="00BC7204" w:rsidRDefault="00A4116F">
            <w:pPr>
              <w:widowControl w:val="0"/>
              <w:spacing w:after="0" w:line="240" w:lineRule="auto"/>
              <w:rPr>
                <w:rFonts w:ascii="Arial" w:hAnsi="Arial" w:cs="Arial"/>
                <w:color w:val="000000"/>
                <w:sz w:val="22"/>
                <w:szCs w:val="22"/>
              </w:rPr>
            </w:pPr>
            <w:r>
              <w:rPr>
                <w:rFonts w:ascii="Arial" w:hAnsi="Arial" w:cs="Arial"/>
                <w:color w:val="000000"/>
                <w:sz w:val="22"/>
                <w:szCs w:val="22"/>
              </w:rPr>
              <w:t xml:space="preserve">Arday </w:t>
            </w:r>
          </w:p>
          <w:p w14:paraId="02A9F8E1" w14:textId="77777777" w:rsidR="00BC7204" w:rsidRDefault="00BC7204">
            <w:pPr>
              <w:widowControl w:val="0"/>
              <w:spacing w:after="0" w:line="240" w:lineRule="auto"/>
              <w:rPr>
                <w:rFonts w:ascii="Arial" w:hAnsi="Arial" w:cs="Arial"/>
                <w:sz w:val="22"/>
                <w:szCs w:val="22"/>
              </w:rPr>
            </w:pPr>
          </w:p>
        </w:tc>
        <w:tc>
          <w:tcPr>
            <w:tcW w:w="1135" w:type="dxa"/>
            <w:tcBorders>
              <w:top w:val="single" w:sz="4" w:space="0" w:color="000000"/>
              <w:left w:val="single" w:sz="4" w:space="0" w:color="000000"/>
              <w:bottom w:val="single" w:sz="4" w:space="0" w:color="000000"/>
              <w:right w:val="single" w:sz="4" w:space="0" w:color="000000"/>
            </w:tcBorders>
            <w:shd w:val="pct10" w:color="auto" w:fill="auto"/>
          </w:tcPr>
          <w:p w14:paraId="02A9F8E2" w14:textId="77777777" w:rsidR="00BC7204" w:rsidRDefault="00A4116F">
            <w:pPr>
              <w:widowControl w:val="0"/>
              <w:spacing w:after="0" w:line="240" w:lineRule="auto"/>
              <w:rPr>
                <w:rFonts w:ascii="Arial" w:hAnsi="Arial" w:cs="Arial"/>
                <w:sz w:val="22"/>
                <w:szCs w:val="22"/>
              </w:rPr>
            </w:pPr>
            <w:r>
              <w:rPr>
                <w:rFonts w:ascii="Arial" w:hAnsi="Arial" w:cs="Arial"/>
                <w:color w:val="000000"/>
                <w:sz w:val="22"/>
                <w:szCs w:val="22"/>
              </w:rPr>
              <w:t xml:space="preserve">Source paper </w:t>
            </w:r>
          </w:p>
        </w:tc>
        <w:tc>
          <w:tcPr>
            <w:tcW w:w="4677" w:type="dxa"/>
            <w:tcBorders>
              <w:top w:val="single" w:sz="4" w:space="0" w:color="000000"/>
              <w:left w:val="single" w:sz="4" w:space="0" w:color="000000"/>
              <w:bottom w:val="single" w:sz="4" w:space="0" w:color="000000"/>
              <w:right w:val="single" w:sz="4" w:space="0" w:color="000000"/>
            </w:tcBorders>
            <w:shd w:val="pct10" w:color="auto" w:fill="auto"/>
          </w:tcPr>
          <w:p w14:paraId="02A9F8E3" w14:textId="77777777" w:rsidR="00BC7204" w:rsidRDefault="00A4116F">
            <w:pPr>
              <w:widowControl w:val="0"/>
              <w:spacing w:after="0" w:line="240" w:lineRule="auto"/>
              <w:rPr>
                <w:rFonts w:ascii="Arial" w:hAnsi="Arial" w:cs="Arial"/>
                <w:sz w:val="22"/>
                <w:szCs w:val="22"/>
              </w:rPr>
            </w:pPr>
            <w:r>
              <w:rPr>
                <w:rFonts w:ascii="Arial" w:hAnsi="Arial" w:cs="Arial"/>
                <w:color w:val="000000"/>
                <w:sz w:val="22"/>
                <w:szCs w:val="22"/>
              </w:rPr>
              <w:t>Arday 2015 thesis text extract</w:t>
            </w:r>
          </w:p>
        </w:tc>
        <w:tc>
          <w:tcPr>
            <w:tcW w:w="4252" w:type="dxa"/>
            <w:tcBorders>
              <w:top w:val="single" w:sz="4" w:space="0" w:color="000000"/>
              <w:left w:val="single" w:sz="4" w:space="0" w:color="000000"/>
              <w:bottom w:val="single" w:sz="4" w:space="0" w:color="000000"/>
              <w:right w:val="single" w:sz="4" w:space="0" w:color="000000"/>
            </w:tcBorders>
            <w:shd w:val="pct10" w:color="auto" w:fill="auto"/>
          </w:tcPr>
          <w:p w14:paraId="02A9F8E4" w14:textId="77777777" w:rsidR="00BC7204" w:rsidRDefault="00A4116F">
            <w:pPr>
              <w:widowControl w:val="0"/>
              <w:spacing w:after="0" w:line="240" w:lineRule="auto"/>
              <w:rPr>
                <w:rFonts w:ascii="Arial" w:hAnsi="Arial" w:cs="Arial"/>
                <w:sz w:val="22"/>
                <w:szCs w:val="22"/>
              </w:rPr>
            </w:pPr>
            <w:r>
              <w:rPr>
                <w:rFonts w:ascii="Arial" w:hAnsi="Arial" w:cs="Arial"/>
                <w:color w:val="000000"/>
                <w:sz w:val="22"/>
                <w:szCs w:val="22"/>
              </w:rPr>
              <w:t>Source</w:t>
            </w:r>
          </w:p>
        </w:tc>
        <w:tc>
          <w:tcPr>
            <w:tcW w:w="1418" w:type="dxa"/>
            <w:tcBorders>
              <w:top w:val="single" w:sz="4" w:space="0" w:color="000000"/>
              <w:left w:val="single" w:sz="4" w:space="0" w:color="000000"/>
              <w:bottom w:val="single" w:sz="4" w:space="0" w:color="000000"/>
              <w:right w:val="single" w:sz="4" w:space="0" w:color="000000"/>
            </w:tcBorders>
            <w:shd w:val="pct10" w:color="auto" w:fill="auto"/>
          </w:tcPr>
          <w:p w14:paraId="02A9F8E5" w14:textId="77777777" w:rsidR="00BC7204" w:rsidRDefault="00A4116F">
            <w:pPr>
              <w:widowControl w:val="0"/>
              <w:spacing w:after="0" w:line="240" w:lineRule="auto"/>
              <w:rPr>
                <w:rFonts w:ascii="Arial" w:hAnsi="Arial" w:cs="Arial"/>
                <w:sz w:val="22"/>
                <w:szCs w:val="22"/>
              </w:rPr>
            </w:pPr>
            <w:r>
              <w:rPr>
                <w:rFonts w:ascii="Arial" w:hAnsi="Arial" w:cs="Arial"/>
                <w:color w:val="000000"/>
                <w:sz w:val="22"/>
                <w:szCs w:val="22"/>
              </w:rPr>
              <w:t>Type</w:t>
            </w:r>
          </w:p>
        </w:tc>
        <w:tc>
          <w:tcPr>
            <w:tcW w:w="1630" w:type="dxa"/>
            <w:tcBorders>
              <w:top w:val="single" w:sz="4" w:space="0" w:color="000000"/>
              <w:left w:val="single" w:sz="4" w:space="0" w:color="000000"/>
              <w:bottom w:val="single" w:sz="4" w:space="0" w:color="000000"/>
              <w:right w:val="single" w:sz="4" w:space="0" w:color="000000"/>
            </w:tcBorders>
            <w:shd w:val="pct10" w:color="auto" w:fill="auto"/>
          </w:tcPr>
          <w:p w14:paraId="02A9F8E6" w14:textId="77777777" w:rsidR="00BC7204" w:rsidRDefault="00A4116F">
            <w:pPr>
              <w:widowControl w:val="0"/>
              <w:spacing w:after="0" w:line="240" w:lineRule="auto"/>
              <w:rPr>
                <w:rFonts w:ascii="Arial" w:hAnsi="Arial" w:cs="Arial"/>
                <w:sz w:val="22"/>
                <w:szCs w:val="22"/>
              </w:rPr>
            </w:pPr>
            <w:r>
              <w:rPr>
                <w:rFonts w:ascii="Arial" w:hAnsi="Arial" w:cs="Arial"/>
                <w:color w:val="000000"/>
                <w:sz w:val="22"/>
                <w:szCs w:val="22"/>
              </w:rPr>
              <w:t>Notes</w:t>
            </w:r>
          </w:p>
        </w:tc>
      </w:tr>
      <w:tr w:rsidR="00BC7204" w14:paraId="02A9F8F4" w14:textId="77777777">
        <w:tc>
          <w:tcPr>
            <w:tcW w:w="845" w:type="dxa"/>
            <w:tcBorders>
              <w:top w:val="single" w:sz="4" w:space="0" w:color="000000"/>
              <w:left w:val="single" w:sz="4" w:space="0" w:color="000000"/>
              <w:bottom w:val="single" w:sz="4" w:space="0" w:color="000000"/>
              <w:right w:val="single" w:sz="4" w:space="0" w:color="000000"/>
            </w:tcBorders>
          </w:tcPr>
          <w:p w14:paraId="02A9F8E8" w14:textId="77777777" w:rsidR="00BC7204" w:rsidRDefault="00BC7204">
            <w:pPr>
              <w:widowControl w:val="0"/>
              <w:spacing w:after="0" w:line="240" w:lineRule="auto"/>
              <w:rPr>
                <w:rFonts w:ascii="Arial" w:hAnsi="Arial" w:cs="Arial"/>
                <w:color w:val="000000"/>
                <w:sz w:val="22"/>
                <w:szCs w:val="22"/>
              </w:rPr>
            </w:pPr>
          </w:p>
        </w:tc>
        <w:tc>
          <w:tcPr>
            <w:tcW w:w="1135" w:type="dxa"/>
            <w:tcBorders>
              <w:top w:val="single" w:sz="4" w:space="0" w:color="000000"/>
              <w:left w:val="single" w:sz="4" w:space="0" w:color="000000"/>
              <w:bottom w:val="single" w:sz="4" w:space="0" w:color="000000"/>
              <w:right w:val="single" w:sz="4" w:space="0" w:color="000000"/>
            </w:tcBorders>
          </w:tcPr>
          <w:p w14:paraId="02A9F8E9" w14:textId="77777777" w:rsidR="00BC7204" w:rsidRDefault="00A4116F">
            <w:pPr>
              <w:widowControl w:val="0"/>
              <w:spacing w:after="0" w:line="240" w:lineRule="auto"/>
              <w:rPr>
                <w:rFonts w:ascii="Arial" w:hAnsi="Arial" w:cs="Arial"/>
                <w:color w:val="000000"/>
              </w:rPr>
            </w:pPr>
            <w:proofErr w:type="spellStart"/>
            <w:r>
              <w:rPr>
                <w:rFonts w:ascii="Arial" w:hAnsi="Arial" w:cs="Arial"/>
                <w:b/>
                <w:bCs/>
              </w:rPr>
              <w:t>Aderibi-gbe</w:t>
            </w:r>
            <w:proofErr w:type="spellEnd"/>
          </w:p>
        </w:tc>
        <w:tc>
          <w:tcPr>
            <w:tcW w:w="4677" w:type="dxa"/>
            <w:tcBorders>
              <w:top w:val="single" w:sz="4" w:space="0" w:color="000000"/>
              <w:left w:val="single" w:sz="4" w:space="0" w:color="000000"/>
              <w:bottom w:val="single" w:sz="4" w:space="0" w:color="000000"/>
              <w:right w:val="single" w:sz="4" w:space="0" w:color="000000"/>
            </w:tcBorders>
          </w:tcPr>
          <w:p w14:paraId="02A9F8EA" w14:textId="77777777" w:rsidR="00BC7204" w:rsidRDefault="00BC7204">
            <w:pPr>
              <w:widowControl w:val="0"/>
              <w:spacing w:after="0" w:line="240" w:lineRule="auto"/>
              <w:rPr>
                <w:rFonts w:ascii="Arial" w:hAnsi="Arial" w:cs="Arial"/>
              </w:rPr>
            </w:pPr>
          </w:p>
        </w:tc>
        <w:tc>
          <w:tcPr>
            <w:tcW w:w="4252" w:type="dxa"/>
            <w:tcBorders>
              <w:top w:val="single" w:sz="4" w:space="0" w:color="000000"/>
              <w:left w:val="single" w:sz="4" w:space="0" w:color="000000"/>
              <w:bottom w:val="single" w:sz="4" w:space="0" w:color="000000"/>
              <w:right w:val="single" w:sz="4" w:space="0" w:color="000000"/>
            </w:tcBorders>
          </w:tcPr>
          <w:p w14:paraId="02A9F8EB" w14:textId="77777777" w:rsidR="00BC7204" w:rsidRDefault="00A4116F">
            <w:pPr>
              <w:widowControl w:val="0"/>
              <w:spacing w:after="0" w:line="240" w:lineRule="auto"/>
              <w:rPr>
                <w:rFonts w:ascii="Arial" w:hAnsi="Arial" w:cs="Arial"/>
                <w:b/>
                <w:bCs/>
              </w:rPr>
            </w:pPr>
            <w:proofErr w:type="spellStart"/>
            <w:r>
              <w:rPr>
                <w:rFonts w:ascii="Arial" w:hAnsi="Arial" w:cs="Arial"/>
                <w:b/>
                <w:bCs/>
              </w:rPr>
              <w:t>Semiyu</w:t>
            </w:r>
            <w:proofErr w:type="spellEnd"/>
            <w:r>
              <w:rPr>
                <w:rFonts w:ascii="Arial" w:hAnsi="Arial" w:cs="Arial"/>
                <w:b/>
                <w:bCs/>
              </w:rPr>
              <w:t xml:space="preserve"> </w:t>
            </w:r>
            <w:proofErr w:type="spellStart"/>
            <w:r>
              <w:rPr>
                <w:rFonts w:ascii="Arial" w:hAnsi="Arial" w:cs="Arial"/>
                <w:b/>
                <w:bCs/>
              </w:rPr>
              <w:t>Adejare</w:t>
            </w:r>
            <w:proofErr w:type="spellEnd"/>
            <w:r>
              <w:rPr>
                <w:rFonts w:ascii="Arial" w:hAnsi="Arial" w:cs="Arial"/>
                <w:b/>
                <w:bCs/>
              </w:rPr>
              <w:t xml:space="preserve"> Aderibigbe, Laura Colucci-Gray and Donald Gray, </w:t>
            </w:r>
          </w:p>
          <w:p w14:paraId="02A9F8EC" w14:textId="77777777" w:rsidR="00BC7204" w:rsidRDefault="00BC7204">
            <w:pPr>
              <w:widowControl w:val="0"/>
              <w:spacing w:after="0" w:line="240" w:lineRule="auto"/>
              <w:rPr>
                <w:rFonts w:ascii="Arial" w:hAnsi="Arial" w:cs="Arial"/>
              </w:rPr>
            </w:pPr>
          </w:p>
          <w:p w14:paraId="02A9F8ED" w14:textId="77777777" w:rsidR="00BC7204" w:rsidRDefault="00A4116F">
            <w:pPr>
              <w:widowControl w:val="0"/>
              <w:spacing w:after="0" w:line="240" w:lineRule="auto"/>
              <w:rPr>
                <w:rFonts w:ascii="Arial" w:hAnsi="Arial" w:cs="Arial"/>
              </w:rPr>
            </w:pPr>
            <w:r>
              <w:rPr>
                <w:rFonts w:ascii="Arial" w:hAnsi="Arial" w:cs="Arial"/>
              </w:rPr>
              <w:t xml:space="preserve">Mentoring as a collaborative learning journey for teachers and student teachers: </w:t>
            </w:r>
            <w:proofErr w:type="gramStart"/>
            <w:r>
              <w:rPr>
                <w:rFonts w:ascii="Arial" w:hAnsi="Arial" w:cs="Arial"/>
              </w:rPr>
              <w:t>a critical</w:t>
            </w:r>
            <w:proofErr w:type="gramEnd"/>
          </w:p>
          <w:p w14:paraId="02A9F8EE" w14:textId="77777777" w:rsidR="00BC7204" w:rsidRDefault="00A4116F">
            <w:pPr>
              <w:widowControl w:val="0"/>
              <w:spacing w:after="0" w:line="240" w:lineRule="auto"/>
              <w:rPr>
                <w:rFonts w:ascii="Arial" w:hAnsi="Arial" w:cs="Arial"/>
              </w:rPr>
            </w:pPr>
            <w:proofErr w:type="gramStart"/>
            <w:r>
              <w:rPr>
                <w:rFonts w:ascii="Arial" w:hAnsi="Arial" w:cs="Arial"/>
              </w:rPr>
              <w:t>Construct ;</w:t>
            </w:r>
            <w:proofErr w:type="gramEnd"/>
            <w:r>
              <w:rPr>
                <w:rFonts w:ascii="Arial" w:hAnsi="Arial" w:cs="Arial"/>
              </w:rPr>
              <w:t xml:space="preserve"> </w:t>
            </w:r>
            <w:r>
              <w:rPr>
                <w:rFonts w:ascii="Arial" w:hAnsi="Arial" w:cs="Arial"/>
                <w:i/>
                <w:iCs/>
              </w:rPr>
              <w:t>Teacher Education Advancement Network Journal</w:t>
            </w:r>
          </w:p>
          <w:p w14:paraId="02A9F8EF" w14:textId="77777777" w:rsidR="00BC7204" w:rsidRDefault="00BC7204">
            <w:pPr>
              <w:widowControl w:val="0"/>
              <w:spacing w:after="0" w:line="240" w:lineRule="auto"/>
              <w:rPr>
                <w:rFonts w:ascii="Arial" w:hAnsi="Arial" w:cs="Arial"/>
              </w:rPr>
            </w:pPr>
          </w:p>
          <w:p w14:paraId="02A9F8F0" w14:textId="77777777" w:rsidR="00BC7204" w:rsidRDefault="00A4116F">
            <w:pPr>
              <w:widowControl w:val="0"/>
              <w:spacing w:after="0" w:line="240" w:lineRule="auto"/>
              <w:rPr>
                <w:rFonts w:ascii="Arial" w:hAnsi="Arial" w:cs="Arial"/>
              </w:rPr>
            </w:pPr>
            <w:hyperlink r:id="rId7">
              <w:r>
                <w:rPr>
                  <w:rStyle w:val="Hyperlink"/>
                  <w:rFonts w:ascii="Arial" w:hAnsi="Arial" w:cs="Arial"/>
                </w:rPr>
                <w:t>https://ojs.cumbria.ac.uk/index.php/TEAN/article/view/192</w:t>
              </w:r>
            </w:hyperlink>
            <w:r>
              <w:rPr>
                <w:rFonts w:ascii="Arial" w:hAnsi="Arial" w:cs="Arial"/>
              </w:rPr>
              <w:t xml:space="preserve">  </w:t>
            </w:r>
          </w:p>
          <w:p w14:paraId="02A9F8F1" w14:textId="77777777" w:rsidR="00BC7204" w:rsidRDefault="00BC7204">
            <w:pPr>
              <w:widowControl w:val="0"/>
              <w:spacing w:after="0" w:line="240" w:lineRule="auto"/>
              <w:rPr>
                <w:rFonts w:ascii="Arial" w:hAnsi="Arial" w:cs="Arial"/>
                <w:b/>
                <w:bCs/>
              </w:rPr>
            </w:pPr>
          </w:p>
        </w:tc>
        <w:tc>
          <w:tcPr>
            <w:tcW w:w="1418" w:type="dxa"/>
            <w:tcBorders>
              <w:top w:val="single" w:sz="4" w:space="0" w:color="000000"/>
              <w:left w:val="single" w:sz="4" w:space="0" w:color="000000"/>
              <w:bottom w:val="single" w:sz="4" w:space="0" w:color="000000"/>
              <w:right w:val="single" w:sz="4" w:space="0" w:color="000000"/>
            </w:tcBorders>
          </w:tcPr>
          <w:p w14:paraId="02A9F8F2" w14:textId="77777777" w:rsidR="00BC7204" w:rsidRDefault="00BC7204">
            <w:pPr>
              <w:widowControl w:val="0"/>
              <w:spacing w:after="0" w:line="240" w:lineRule="auto"/>
              <w:rPr>
                <w:rFonts w:ascii="Arial" w:hAnsi="Arial" w:cs="Arial"/>
                <w:color w:val="000000"/>
                <w:sz w:val="22"/>
                <w:szCs w:val="22"/>
              </w:rPr>
            </w:pPr>
          </w:p>
        </w:tc>
        <w:tc>
          <w:tcPr>
            <w:tcW w:w="1630" w:type="dxa"/>
            <w:tcBorders>
              <w:top w:val="single" w:sz="4" w:space="0" w:color="000000"/>
              <w:left w:val="single" w:sz="4" w:space="0" w:color="000000"/>
              <w:bottom w:val="single" w:sz="4" w:space="0" w:color="000000"/>
              <w:right w:val="single" w:sz="4" w:space="0" w:color="000000"/>
            </w:tcBorders>
          </w:tcPr>
          <w:p w14:paraId="02A9F8F3" w14:textId="77777777" w:rsidR="00BC7204" w:rsidRDefault="00BC7204">
            <w:pPr>
              <w:widowControl w:val="0"/>
              <w:spacing w:after="0" w:line="240" w:lineRule="auto"/>
              <w:rPr>
                <w:rFonts w:ascii="Arial" w:hAnsi="Arial" w:cs="Arial"/>
                <w:sz w:val="22"/>
                <w:szCs w:val="22"/>
              </w:rPr>
            </w:pPr>
          </w:p>
        </w:tc>
      </w:tr>
      <w:tr w:rsidR="00BC7204" w14:paraId="02A9F90B" w14:textId="77777777">
        <w:tc>
          <w:tcPr>
            <w:tcW w:w="845" w:type="dxa"/>
            <w:tcBorders>
              <w:top w:val="single" w:sz="4" w:space="0" w:color="000000"/>
              <w:left w:val="single" w:sz="4" w:space="0" w:color="000000"/>
              <w:bottom w:val="single" w:sz="4" w:space="0" w:color="000000"/>
              <w:right w:val="single" w:sz="4" w:space="0" w:color="000000"/>
            </w:tcBorders>
          </w:tcPr>
          <w:p w14:paraId="02A9F8F5" w14:textId="77777777" w:rsidR="00BC7204" w:rsidRDefault="00A4116F">
            <w:pPr>
              <w:widowControl w:val="0"/>
              <w:spacing w:after="0" w:line="240" w:lineRule="auto"/>
              <w:rPr>
                <w:rFonts w:ascii="Arial" w:hAnsi="Arial" w:cs="Arial"/>
                <w:color w:val="000000"/>
                <w:sz w:val="22"/>
                <w:szCs w:val="22"/>
              </w:rPr>
            </w:pPr>
            <w:r>
              <w:rPr>
                <w:rFonts w:ascii="Arial" w:hAnsi="Arial" w:cs="Arial"/>
                <w:color w:val="000000"/>
                <w:sz w:val="22"/>
                <w:szCs w:val="22"/>
              </w:rPr>
              <w:t>84</w:t>
            </w:r>
          </w:p>
          <w:p w14:paraId="02A9F8F6" w14:textId="77777777" w:rsidR="00BC7204" w:rsidRDefault="00BC7204">
            <w:pPr>
              <w:widowControl w:val="0"/>
              <w:spacing w:after="0" w:line="240" w:lineRule="auto"/>
              <w:rPr>
                <w:rFonts w:ascii="Arial" w:hAnsi="Arial" w:cs="Arial"/>
                <w:color w:val="000000"/>
                <w:sz w:val="22"/>
                <w:szCs w:val="22"/>
              </w:rPr>
            </w:pPr>
          </w:p>
          <w:p w14:paraId="02A9F8F7" w14:textId="77777777" w:rsidR="00BC7204" w:rsidRDefault="00BC7204">
            <w:pPr>
              <w:widowControl w:val="0"/>
              <w:spacing w:after="0" w:line="240" w:lineRule="auto"/>
              <w:rPr>
                <w:rFonts w:ascii="Arial" w:hAnsi="Arial" w:cs="Arial"/>
                <w:color w:val="000000"/>
                <w:sz w:val="22"/>
                <w:szCs w:val="22"/>
              </w:rPr>
            </w:pPr>
          </w:p>
        </w:tc>
        <w:tc>
          <w:tcPr>
            <w:tcW w:w="1135" w:type="dxa"/>
            <w:tcBorders>
              <w:top w:val="single" w:sz="4" w:space="0" w:color="000000"/>
              <w:left w:val="single" w:sz="4" w:space="0" w:color="000000"/>
              <w:bottom w:val="single" w:sz="4" w:space="0" w:color="000000"/>
              <w:right w:val="single" w:sz="4" w:space="0" w:color="000000"/>
            </w:tcBorders>
          </w:tcPr>
          <w:p w14:paraId="02A9F8F8" w14:textId="77777777" w:rsidR="00BC7204" w:rsidRDefault="00A4116F">
            <w:pPr>
              <w:widowControl w:val="0"/>
              <w:spacing w:after="0" w:line="240" w:lineRule="auto"/>
              <w:rPr>
                <w:rFonts w:ascii="Arial" w:hAnsi="Arial" w:cs="Arial"/>
                <w:color w:val="000000"/>
              </w:rPr>
            </w:pPr>
            <w:r>
              <w:rPr>
                <w:rFonts w:ascii="Arial" w:hAnsi="Arial" w:cs="Arial"/>
                <w:color w:val="000000"/>
              </w:rPr>
              <w:t>9</w:t>
            </w:r>
          </w:p>
        </w:tc>
        <w:tc>
          <w:tcPr>
            <w:tcW w:w="4677" w:type="dxa"/>
            <w:tcBorders>
              <w:top w:val="single" w:sz="4" w:space="0" w:color="000000"/>
              <w:left w:val="single" w:sz="4" w:space="0" w:color="000000"/>
              <w:bottom w:val="single" w:sz="4" w:space="0" w:color="000000"/>
              <w:right w:val="single" w:sz="4" w:space="0" w:color="000000"/>
            </w:tcBorders>
          </w:tcPr>
          <w:p w14:paraId="02A9F8F9" w14:textId="77777777" w:rsidR="00BC7204" w:rsidRDefault="00A4116F">
            <w:pPr>
              <w:widowControl w:val="0"/>
              <w:spacing w:after="0" w:line="240" w:lineRule="auto"/>
              <w:rPr>
                <w:rFonts w:ascii="Arial" w:hAnsi="Arial" w:cs="Arial"/>
              </w:rPr>
            </w:pPr>
            <w:r>
              <w:rPr>
                <w:rFonts w:ascii="Arial" w:hAnsi="Arial" w:cs="Arial"/>
              </w:rPr>
              <w:t xml:space="preserve">In acknowledgment of this, Cove et al., (2007) describe mentoring as a voluminous concept with the potential for varying of applications. </w:t>
            </w:r>
          </w:p>
          <w:p w14:paraId="02A9F8FA" w14:textId="77777777" w:rsidR="00BC7204" w:rsidRDefault="00BC7204">
            <w:pPr>
              <w:widowControl w:val="0"/>
              <w:spacing w:after="0" w:line="240" w:lineRule="auto"/>
              <w:rPr>
                <w:rFonts w:ascii="Arial" w:hAnsi="Arial" w:cs="Arial"/>
              </w:rPr>
            </w:pPr>
          </w:p>
          <w:p w14:paraId="02A9F8FB" w14:textId="77777777" w:rsidR="00BC7204" w:rsidRDefault="00BC7204">
            <w:pPr>
              <w:widowControl w:val="0"/>
              <w:spacing w:after="0" w:line="240" w:lineRule="auto"/>
              <w:rPr>
                <w:rFonts w:ascii="Arial" w:hAnsi="Arial" w:cs="Arial"/>
              </w:rPr>
            </w:pPr>
          </w:p>
          <w:p w14:paraId="02A9F8FC" w14:textId="77777777" w:rsidR="00BC7204" w:rsidRDefault="00A4116F">
            <w:pPr>
              <w:widowControl w:val="0"/>
              <w:spacing w:after="0" w:line="240" w:lineRule="auto"/>
              <w:rPr>
                <w:rFonts w:ascii="Arial" w:hAnsi="Arial" w:cs="Arial"/>
              </w:rPr>
            </w:pPr>
            <w:r>
              <w:rPr>
                <w:rFonts w:ascii="Arial" w:hAnsi="Arial" w:cs="Arial"/>
              </w:rPr>
              <w:t>Illuminating some of the academic commentary presented, mentoring within a teacher training context is an integrated and collaborative endeavour between supporter teachers’ and student teachers’ for personal and professional development (Pont, 2010)</w:t>
            </w:r>
          </w:p>
          <w:p w14:paraId="02A9F8FD" w14:textId="77777777" w:rsidR="00BC7204" w:rsidRDefault="00BC7204">
            <w:pPr>
              <w:widowControl w:val="0"/>
              <w:spacing w:after="0" w:line="240" w:lineRule="auto"/>
              <w:rPr>
                <w:rFonts w:ascii="Arial" w:hAnsi="Arial" w:cs="Arial"/>
              </w:rPr>
            </w:pPr>
          </w:p>
          <w:p w14:paraId="02A9F8FE" w14:textId="77777777" w:rsidR="00BC7204" w:rsidRDefault="00A4116F">
            <w:pPr>
              <w:widowControl w:val="0"/>
              <w:spacing w:after="0" w:line="240" w:lineRule="auto"/>
              <w:rPr>
                <w:rFonts w:ascii="Arial" w:hAnsi="Arial" w:cs="Arial"/>
              </w:rPr>
            </w:pPr>
            <w:r>
              <w:rPr>
                <w:rFonts w:ascii="Arial" w:hAnsi="Arial" w:cs="Arial"/>
                <w:b/>
                <w:bCs/>
              </w:rPr>
              <w:t>Aderibigbe not mentioned in Arday’s final reference list</w:t>
            </w:r>
          </w:p>
        </w:tc>
        <w:tc>
          <w:tcPr>
            <w:tcW w:w="4252" w:type="dxa"/>
            <w:tcBorders>
              <w:top w:val="single" w:sz="4" w:space="0" w:color="000000"/>
              <w:left w:val="single" w:sz="4" w:space="0" w:color="000000"/>
              <w:bottom w:val="single" w:sz="4" w:space="0" w:color="000000"/>
              <w:right w:val="single" w:sz="4" w:space="0" w:color="000000"/>
            </w:tcBorders>
          </w:tcPr>
          <w:p w14:paraId="02A9F8FF" w14:textId="77777777" w:rsidR="00BC7204" w:rsidRDefault="00A4116F">
            <w:pPr>
              <w:widowControl w:val="0"/>
              <w:spacing w:after="0" w:line="240" w:lineRule="auto"/>
              <w:rPr>
                <w:rFonts w:ascii="Arial" w:hAnsi="Arial" w:cs="Arial"/>
              </w:rPr>
            </w:pPr>
            <w:r>
              <w:rPr>
                <w:rFonts w:ascii="Arial" w:hAnsi="Arial" w:cs="Arial"/>
              </w:rPr>
              <w:t xml:space="preserve">Perhaps, this explains why Cove, McAdam and </w:t>
            </w:r>
            <w:proofErr w:type="spellStart"/>
            <w:r>
              <w:rPr>
                <w:rFonts w:ascii="Arial" w:hAnsi="Arial" w:cs="Arial"/>
              </w:rPr>
              <w:t>McGongial</w:t>
            </w:r>
            <w:proofErr w:type="spellEnd"/>
            <w:r>
              <w:rPr>
                <w:rFonts w:ascii="Arial" w:hAnsi="Arial" w:cs="Arial"/>
              </w:rPr>
              <w:t xml:space="preserve"> (2007) describe mentoring as a voluminous but flexible concept with potential for a variety of applications. </w:t>
            </w:r>
          </w:p>
          <w:p w14:paraId="02A9F900" w14:textId="77777777" w:rsidR="00BC7204" w:rsidRDefault="00BC7204">
            <w:pPr>
              <w:widowControl w:val="0"/>
              <w:spacing w:after="0" w:line="240" w:lineRule="auto"/>
              <w:rPr>
                <w:rFonts w:ascii="Arial" w:hAnsi="Arial" w:cs="Arial"/>
              </w:rPr>
            </w:pPr>
          </w:p>
          <w:p w14:paraId="02A9F901" w14:textId="77777777" w:rsidR="00BC7204" w:rsidRDefault="00A4116F">
            <w:pPr>
              <w:widowControl w:val="0"/>
              <w:spacing w:after="0" w:line="240" w:lineRule="auto"/>
              <w:rPr>
                <w:rFonts w:ascii="Arial" w:hAnsi="Arial" w:cs="Arial"/>
              </w:rPr>
            </w:pPr>
            <w:r>
              <w:rPr>
                <w:rFonts w:ascii="Arial" w:hAnsi="Arial" w:cs="Arial"/>
              </w:rPr>
              <w:t>In the context of teacher education, and specifically in this study, mentoring is defined as a collaborative process where both mentors and mentees can engage in professional activities aimed at fostering their personal and professional development (Aderibigbe, 2013)</w:t>
            </w:r>
          </w:p>
          <w:p w14:paraId="02A9F902" w14:textId="77777777" w:rsidR="00BC7204" w:rsidRDefault="00BC7204">
            <w:pPr>
              <w:widowControl w:val="0"/>
              <w:spacing w:after="0" w:line="240" w:lineRule="auto"/>
              <w:rPr>
                <w:rFonts w:ascii="Arial" w:hAnsi="Arial" w:cs="Arial"/>
                <w:b/>
                <w:bCs/>
                <w:color w:val="000000"/>
                <w:sz w:val="22"/>
                <w:szCs w:val="22"/>
              </w:rPr>
            </w:pPr>
          </w:p>
        </w:tc>
        <w:tc>
          <w:tcPr>
            <w:tcW w:w="1418" w:type="dxa"/>
            <w:tcBorders>
              <w:top w:val="single" w:sz="4" w:space="0" w:color="000000"/>
              <w:left w:val="single" w:sz="4" w:space="0" w:color="000000"/>
              <w:bottom w:val="single" w:sz="4" w:space="0" w:color="000000"/>
              <w:right w:val="single" w:sz="4" w:space="0" w:color="000000"/>
            </w:tcBorders>
          </w:tcPr>
          <w:p w14:paraId="02A9F903" w14:textId="77777777" w:rsidR="00BC7204" w:rsidRDefault="00A4116F">
            <w:pPr>
              <w:widowControl w:val="0"/>
              <w:spacing w:after="0" w:line="240" w:lineRule="auto"/>
              <w:rPr>
                <w:rFonts w:ascii="Arial" w:hAnsi="Arial" w:cs="Arial"/>
                <w:color w:val="000000"/>
                <w:sz w:val="22"/>
                <w:szCs w:val="22"/>
              </w:rPr>
            </w:pPr>
            <w:r>
              <w:rPr>
                <w:rFonts w:ascii="Arial" w:hAnsi="Arial" w:cs="Arial"/>
                <w:color w:val="000000"/>
                <w:sz w:val="22"/>
                <w:szCs w:val="22"/>
              </w:rPr>
              <w:t>Near-verbatim</w:t>
            </w:r>
          </w:p>
        </w:tc>
        <w:tc>
          <w:tcPr>
            <w:tcW w:w="1630" w:type="dxa"/>
            <w:tcBorders>
              <w:top w:val="single" w:sz="4" w:space="0" w:color="000000"/>
              <w:left w:val="single" w:sz="4" w:space="0" w:color="000000"/>
              <w:bottom w:val="single" w:sz="4" w:space="0" w:color="000000"/>
              <w:right w:val="single" w:sz="4" w:space="0" w:color="000000"/>
            </w:tcBorders>
          </w:tcPr>
          <w:p w14:paraId="02A9F904" w14:textId="77777777" w:rsidR="00BC7204" w:rsidRDefault="00A4116F">
            <w:pPr>
              <w:widowControl w:val="0"/>
              <w:spacing w:after="0" w:line="240" w:lineRule="auto"/>
              <w:rPr>
                <w:rFonts w:ascii="Arial" w:hAnsi="Arial" w:cs="Arial"/>
                <w:sz w:val="22"/>
                <w:szCs w:val="22"/>
              </w:rPr>
            </w:pPr>
            <w:r>
              <w:rPr>
                <w:rFonts w:ascii="Arial" w:hAnsi="Arial" w:cs="Arial"/>
                <w:sz w:val="22"/>
                <w:szCs w:val="22"/>
              </w:rPr>
              <w:t>Note substitution of ‘varying’ for ‘a variety</w:t>
            </w:r>
          </w:p>
          <w:p w14:paraId="02A9F905" w14:textId="77777777" w:rsidR="00BC7204" w:rsidRDefault="00BC7204">
            <w:pPr>
              <w:widowControl w:val="0"/>
              <w:spacing w:after="0" w:line="240" w:lineRule="auto"/>
              <w:rPr>
                <w:rFonts w:ascii="Arial" w:hAnsi="Arial" w:cs="Arial"/>
                <w:sz w:val="22"/>
                <w:szCs w:val="22"/>
              </w:rPr>
            </w:pPr>
          </w:p>
          <w:p w14:paraId="02A9F906" w14:textId="77777777" w:rsidR="00BC7204" w:rsidRDefault="00BC7204">
            <w:pPr>
              <w:widowControl w:val="0"/>
              <w:spacing w:after="0" w:line="240" w:lineRule="auto"/>
              <w:rPr>
                <w:rFonts w:ascii="Arial" w:hAnsi="Arial" w:cs="Arial"/>
                <w:sz w:val="22"/>
                <w:szCs w:val="22"/>
              </w:rPr>
            </w:pPr>
          </w:p>
          <w:p w14:paraId="02A9F907" w14:textId="77777777" w:rsidR="00BC7204" w:rsidRDefault="00A4116F">
            <w:pPr>
              <w:widowControl w:val="0"/>
              <w:spacing w:after="0" w:line="240" w:lineRule="auto"/>
              <w:rPr>
                <w:rFonts w:ascii="Arial" w:hAnsi="Arial" w:cs="Arial"/>
                <w:sz w:val="22"/>
                <w:szCs w:val="22"/>
              </w:rPr>
            </w:pPr>
            <w:r>
              <w:rPr>
                <w:rFonts w:ascii="Arial" w:hAnsi="Arial" w:cs="Arial"/>
                <w:sz w:val="22"/>
                <w:szCs w:val="22"/>
              </w:rPr>
              <w:t>‘</w:t>
            </w:r>
            <w:r>
              <w:rPr>
                <w:rFonts w:ascii="Arial" w:hAnsi="Arial" w:cs="Arial"/>
                <w:sz w:val="22"/>
                <w:szCs w:val="22"/>
              </w:rPr>
              <w:t>collaborative endeavour’ vs ‘collaborative process’</w:t>
            </w:r>
          </w:p>
          <w:p w14:paraId="02A9F908" w14:textId="77777777" w:rsidR="00BC7204" w:rsidRDefault="00BC7204">
            <w:pPr>
              <w:widowControl w:val="0"/>
              <w:spacing w:after="0" w:line="240" w:lineRule="auto"/>
              <w:rPr>
                <w:rFonts w:ascii="Arial" w:hAnsi="Arial" w:cs="Arial"/>
                <w:sz w:val="22"/>
                <w:szCs w:val="22"/>
              </w:rPr>
            </w:pPr>
          </w:p>
          <w:p w14:paraId="02A9F909" w14:textId="77777777" w:rsidR="00BC7204" w:rsidRDefault="00BC7204">
            <w:pPr>
              <w:widowControl w:val="0"/>
              <w:spacing w:after="0" w:line="240" w:lineRule="auto"/>
              <w:rPr>
                <w:rFonts w:ascii="Arial" w:hAnsi="Arial" w:cs="Arial"/>
                <w:sz w:val="22"/>
                <w:szCs w:val="22"/>
              </w:rPr>
            </w:pPr>
          </w:p>
          <w:p w14:paraId="02A9F90A" w14:textId="77777777" w:rsidR="00BC7204" w:rsidRDefault="00A4116F">
            <w:pPr>
              <w:widowControl w:val="0"/>
              <w:spacing w:after="0" w:line="240" w:lineRule="auto"/>
              <w:rPr>
                <w:rFonts w:ascii="Arial" w:hAnsi="Arial" w:cs="Arial"/>
                <w:color w:val="000000"/>
                <w:sz w:val="22"/>
                <w:szCs w:val="22"/>
              </w:rPr>
            </w:pPr>
            <w:r>
              <w:rPr>
                <w:rFonts w:ascii="Arial" w:hAnsi="Arial" w:cs="Arial"/>
                <w:sz w:val="22"/>
                <w:szCs w:val="22"/>
              </w:rPr>
              <w:t>Note: the word ‘voluminous’ does not appear in Cove (2007)</w:t>
            </w:r>
          </w:p>
        </w:tc>
      </w:tr>
      <w:tr w:rsidR="00BC7204" w14:paraId="02A9F916" w14:textId="77777777">
        <w:tc>
          <w:tcPr>
            <w:tcW w:w="845" w:type="dxa"/>
            <w:tcBorders>
              <w:top w:val="single" w:sz="4" w:space="0" w:color="000000"/>
              <w:left w:val="single" w:sz="4" w:space="0" w:color="000000"/>
              <w:bottom w:val="single" w:sz="4" w:space="0" w:color="000000"/>
              <w:right w:val="single" w:sz="4" w:space="0" w:color="000000"/>
            </w:tcBorders>
          </w:tcPr>
          <w:p w14:paraId="02A9F90C" w14:textId="77777777" w:rsidR="00BC7204" w:rsidRDefault="00BC7204">
            <w:pPr>
              <w:widowControl w:val="0"/>
              <w:spacing w:after="0" w:line="240" w:lineRule="auto"/>
              <w:rPr>
                <w:rFonts w:ascii="Arial" w:hAnsi="Arial" w:cs="Arial"/>
                <w:color w:val="000000"/>
                <w:sz w:val="22"/>
                <w:szCs w:val="22"/>
              </w:rPr>
            </w:pPr>
          </w:p>
          <w:p w14:paraId="02A9F90D" w14:textId="77777777" w:rsidR="00BC7204" w:rsidRDefault="00BC7204">
            <w:pPr>
              <w:widowControl w:val="0"/>
              <w:spacing w:after="0" w:line="240" w:lineRule="auto"/>
              <w:rPr>
                <w:rFonts w:ascii="Arial" w:hAnsi="Arial" w:cs="Arial"/>
                <w:color w:val="000000"/>
                <w:sz w:val="22"/>
                <w:szCs w:val="22"/>
              </w:rPr>
            </w:pPr>
          </w:p>
        </w:tc>
        <w:tc>
          <w:tcPr>
            <w:tcW w:w="1135" w:type="dxa"/>
            <w:tcBorders>
              <w:top w:val="single" w:sz="4" w:space="0" w:color="000000"/>
              <w:left w:val="single" w:sz="4" w:space="0" w:color="000000"/>
              <w:bottom w:val="single" w:sz="4" w:space="0" w:color="000000"/>
              <w:right w:val="single" w:sz="4" w:space="0" w:color="000000"/>
            </w:tcBorders>
          </w:tcPr>
          <w:p w14:paraId="02A9F90E" w14:textId="77777777" w:rsidR="00BC7204" w:rsidRDefault="00BC7204">
            <w:pPr>
              <w:widowControl w:val="0"/>
              <w:spacing w:after="0" w:line="240" w:lineRule="auto"/>
              <w:rPr>
                <w:rFonts w:ascii="Arial" w:hAnsi="Arial" w:cs="Arial"/>
                <w:b/>
                <w:bCs/>
                <w:color w:val="000000"/>
                <w:sz w:val="22"/>
                <w:szCs w:val="22"/>
              </w:rPr>
            </w:pPr>
          </w:p>
        </w:tc>
        <w:tc>
          <w:tcPr>
            <w:tcW w:w="4677" w:type="dxa"/>
            <w:tcBorders>
              <w:top w:val="single" w:sz="4" w:space="0" w:color="000000"/>
              <w:left w:val="single" w:sz="4" w:space="0" w:color="000000"/>
              <w:bottom w:val="single" w:sz="4" w:space="0" w:color="000000"/>
              <w:right w:val="single" w:sz="4" w:space="0" w:color="000000"/>
            </w:tcBorders>
          </w:tcPr>
          <w:p w14:paraId="02A9F90F" w14:textId="77777777" w:rsidR="00BC7204" w:rsidRDefault="00BC7204">
            <w:pPr>
              <w:widowControl w:val="0"/>
              <w:spacing w:after="0" w:line="240" w:lineRule="auto"/>
              <w:rPr>
                <w:rFonts w:ascii="Arial" w:hAnsi="Arial" w:cs="Arial"/>
                <w:sz w:val="22"/>
                <w:szCs w:val="22"/>
              </w:rPr>
            </w:pPr>
          </w:p>
        </w:tc>
        <w:tc>
          <w:tcPr>
            <w:tcW w:w="4252" w:type="dxa"/>
            <w:tcBorders>
              <w:top w:val="single" w:sz="4" w:space="0" w:color="000000"/>
              <w:left w:val="single" w:sz="4" w:space="0" w:color="000000"/>
              <w:bottom w:val="single" w:sz="4" w:space="0" w:color="000000"/>
              <w:right w:val="single" w:sz="4" w:space="0" w:color="000000"/>
            </w:tcBorders>
          </w:tcPr>
          <w:p w14:paraId="02A9F910" w14:textId="77777777" w:rsidR="00BC7204" w:rsidRDefault="00A4116F">
            <w:pPr>
              <w:widowControl w:val="0"/>
              <w:spacing w:after="0" w:line="240" w:lineRule="auto"/>
              <w:rPr>
                <w:rFonts w:ascii="Arial" w:hAnsi="Arial" w:cs="Arial"/>
                <w:b/>
                <w:bCs/>
              </w:rPr>
            </w:pPr>
            <w:r>
              <w:rPr>
                <w:rFonts w:ascii="Arial" w:hAnsi="Arial" w:cs="Arial"/>
                <w:b/>
                <w:bCs/>
              </w:rPr>
              <w:t>Christie, H 2014, 'Peer mentoring in higher education: issues of power and control', Teaching in Higher Education, vol. 19, no. 3, pp. 955</w:t>
            </w:r>
          </w:p>
          <w:p w14:paraId="02A9F911" w14:textId="77777777" w:rsidR="00BC7204" w:rsidRDefault="00BC7204">
            <w:pPr>
              <w:widowControl w:val="0"/>
              <w:spacing w:after="0" w:line="240" w:lineRule="auto"/>
              <w:rPr>
                <w:rFonts w:ascii="Arial" w:hAnsi="Arial" w:cs="Arial"/>
                <w:b/>
                <w:bCs/>
              </w:rPr>
            </w:pPr>
          </w:p>
          <w:p w14:paraId="02A9F912" w14:textId="77777777" w:rsidR="00BC7204" w:rsidRDefault="00A4116F">
            <w:pPr>
              <w:widowControl w:val="0"/>
              <w:spacing w:after="0" w:line="240" w:lineRule="auto"/>
              <w:rPr>
                <w:rFonts w:ascii="Arial" w:hAnsi="Arial" w:cs="Arial"/>
                <w:b/>
                <w:bCs/>
              </w:rPr>
            </w:pPr>
            <w:hyperlink r:id="rId8">
              <w:r>
                <w:rPr>
                  <w:rStyle w:val="Hyperlink"/>
                  <w:rFonts w:ascii="Arial" w:hAnsi="Arial" w:cs="Arial"/>
                  <w:b/>
                  <w:bCs/>
                </w:rPr>
                <w:t>https://www.pure.ed.ac.uk/ws/portalfiles/portal/1i9075219/ChristieMentoringTIHE.pdf</w:t>
              </w:r>
            </w:hyperlink>
            <w:r>
              <w:rPr>
                <w:rFonts w:ascii="Arial" w:hAnsi="Arial" w:cs="Arial"/>
                <w:b/>
                <w:bCs/>
              </w:rPr>
              <w:t xml:space="preserve"> </w:t>
            </w:r>
          </w:p>
          <w:p w14:paraId="02A9F913" w14:textId="77777777" w:rsidR="00BC7204" w:rsidRDefault="00BC7204">
            <w:pPr>
              <w:widowControl w:val="0"/>
              <w:spacing w:after="0" w:line="240" w:lineRule="auto"/>
              <w:rPr>
                <w:rFonts w:ascii="Arial" w:hAnsi="Arial" w:cs="Arial"/>
              </w:rPr>
            </w:pPr>
          </w:p>
        </w:tc>
        <w:tc>
          <w:tcPr>
            <w:tcW w:w="1418" w:type="dxa"/>
            <w:tcBorders>
              <w:top w:val="single" w:sz="4" w:space="0" w:color="000000"/>
              <w:left w:val="single" w:sz="4" w:space="0" w:color="000000"/>
              <w:bottom w:val="single" w:sz="4" w:space="0" w:color="000000"/>
              <w:right w:val="single" w:sz="4" w:space="0" w:color="000000"/>
            </w:tcBorders>
          </w:tcPr>
          <w:p w14:paraId="02A9F914" w14:textId="77777777" w:rsidR="00BC7204" w:rsidRDefault="00BC7204">
            <w:pPr>
              <w:widowControl w:val="0"/>
              <w:spacing w:after="0" w:line="240" w:lineRule="auto"/>
              <w:rPr>
                <w:rFonts w:ascii="Arial" w:hAnsi="Arial" w:cs="Arial"/>
                <w:color w:val="000000"/>
                <w:sz w:val="22"/>
                <w:szCs w:val="22"/>
              </w:rPr>
            </w:pPr>
          </w:p>
        </w:tc>
        <w:tc>
          <w:tcPr>
            <w:tcW w:w="1630" w:type="dxa"/>
            <w:tcBorders>
              <w:top w:val="single" w:sz="4" w:space="0" w:color="000000"/>
              <w:left w:val="single" w:sz="4" w:space="0" w:color="000000"/>
              <w:bottom w:val="single" w:sz="4" w:space="0" w:color="000000"/>
              <w:right w:val="single" w:sz="4" w:space="0" w:color="000000"/>
            </w:tcBorders>
          </w:tcPr>
          <w:p w14:paraId="02A9F915" w14:textId="77777777" w:rsidR="00BC7204" w:rsidRDefault="00BC7204">
            <w:pPr>
              <w:widowControl w:val="0"/>
              <w:spacing w:after="0" w:line="240" w:lineRule="auto"/>
              <w:rPr>
                <w:rFonts w:ascii="Arial" w:hAnsi="Arial" w:cs="Arial"/>
                <w:sz w:val="22"/>
                <w:szCs w:val="22"/>
              </w:rPr>
            </w:pPr>
          </w:p>
        </w:tc>
      </w:tr>
      <w:tr w:rsidR="00BC7204" w14:paraId="02A9F936" w14:textId="77777777">
        <w:tc>
          <w:tcPr>
            <w:tcW w:w="845" w:type="dxa"/>
            <w:tcBorders>
              <w:top w:val="single" w:sz="4" w:space="0" w:color="000000"/>
              <w:left w:val="single" w:sz="4" w:space="0" w:color="000000"/>
              <w:bottom w:val="single" w:sz="4" w:space="0" w:color="000000"/>
              <w:right w:val="single" w:sz="4" w:space="0" w:color="000000"/>
            </w:tcBorders>
          </w:tcPr>
          <w:p w14:paraId="02A9F917" w14:textId="77777777" w:rsidR="00BC7204" w:rsidRDefault="00A4116F">
            <w:pPr>
              <w:widowControl w:val="0"/>
              <w:spacing w:after="0" w:line="240" w:lineRule="auto"/>
              <w:rPr>
                <w:rFonts w:ascii="Arial" w:hAnsi="Arial" w:cs="Arial"/>
                <w:color w:val="000000"/>
                <w:sz w:val="22"/>
                <w:szCs w:val="22"/>
              </w:rPr>
            </w:pPr>
            <w:r>
              <w:rPr>
                <w:rFonts w:ascii="Arial" w:hAnsi="Arial" w:cs="Arial"/>
                <w:color w:val="000000"/>
                <w:sz w:val="22"/>
                <w:szCs w:val="22"/>
              </w:rPr>
              <w:t>108</w:t>
            </w:r>
          </w:p>
        </w:tc>
        <w:tc>
          <w:tcPr>
            <w:tcW w:w="1135" w:type="dxa"/>
            <w:tcBorders>
              <w:top w:val="single" w:sz="4" w:space="0" w:color="000000"/>
              <w:left w:val="single" w:sz="4" w:space="0" w:color="000000"/>
              <w:bottom w:val="single" w:sz="4" w:space="0" w:color="000000"/>
              <w:right w:val="single" w:sz="4" w:space="0" w:color="000000"/>
            </w:tcBorders>
          </w:tcPr>
          <w:p w14:paraId="02A9F918" w14:textId="77777777" w:rsidR="00BC7204" w:rsidRDefault="00A4116F">
            <w:pPr>
              <w:widowControl w:val="0"/>
              <w:spacing w:after="0" w:line="240" w:lineRule="auto"/>
              <w:rPr>
                <w:rFonts w:ascii="Arial" w:hAnsi="Arial" w:cs="Arial"/>
                <w:color w:val="000000"/>
                <w:sz w:val="22"/>
                <w:szCs w:val="22"/>
              </w:rPr>
            </w:pPr>
            <w:r>
              <w:rPr>
                <w:rFonts w:ascii="Arial" w:hAnsi="Arial" w:cs="Arial"/>
                <w:color w:val="000000"/>
                <w:sz w:val="22"/>
                <w:szCs w:val="22"/>
              </w:rPr>
              <w:t>955</w:t>
            </w:r>
          </w:p>
        </w:tc>
        <w:tc>
          <w:tcPr>
            <w:tcW w:w="4677" w:type="dxa"/>
            <w:tcBorders>
              <w:top w:val="single" w:sz="4" w:space="0" w:color="000000"/>
              <w:left w:val="single" w:sz="4" w:space="0" w:color="000000"/>
              <w:bottom w:val="single" w:sz="4" w:space="0" w:color="000000"/>
              <w:right w:val="single" w:sz="4" w:space="0" w:color="000000"/>
            </w:tcBorders>
          </w:tcPr>
          <w:p w14:paraId="02A9F919" w14:textId="77777777" w:rsidR="00BC7204" w:rsidRDefault="00A4116F">
            <w:pPr>
              <w:widowControl w:val="0"/>
              <w:spacing w:after="0" w:line="240" w:lineRule="auto"/>
              <w:rPr>
                <w:rFonts w:ascii="Arial" w:hAnsi="Arial" w:cs="Arial"/>
              </w:rPr>
            </w:pPr>
            <w:r>
              <w:rPr>
                <w:rFonts w:ascii="Arial" w:hAnsi="Arial" w:cs="Arial"/>
              </w:rPr>
              <w:t xml:space="preserve">Christie (2014) contends that over the past three decades there has been an emergence of new perspectives on learning, and it is widely recognised that learning is a social, as opposed to an individual process, which flourishes when dynamics of power are eliminated within the mentoring process. </w:t>
            </w:r>
          </w:p>
          <w:p w14:paraId="02A9F91A" w14:textId="77777777" w:rsidR="00BC7204" w:rsidRDefault="00BC7204">
            <w:pPr>
              <w:widowControl w:val="0"/>
              <w:spacing w:after="0" w:line="240" w:lineRule="auto"/>
              <w:rPr>
                <w:rFonts w:ascii="Arial" w:hAnsi="Arial" w:cs="Arial"/>
              </w:rPr>
            </w:pPr>
          </w:p>
          <w:p w14:paraId="02A9F91B" w14:textId="77777777" w:rsidR="00BC7204" w:rsidRDefault="00A4116F">
            <w:pPr>
              <w:widowControl w:val="0"/>
              <w:spacing w:after="0" w:line="240" w:lineRule="auto"/>
              <w:rPr>
                <w:rFonts w:ascii="Arial" w:hAnsi="Arial" w:cs="Arial"/>
              </w:rPr>
            </w:pPr>
            <w:r>
              <w:rPr>
                <w:rFonts w:ascii="Arial" w:hAnsi="Arial" w:cs="Arial"/>
              </w:rPr>
              <w:t xml:space="preserve">Rather than being about acquiring sequential cognitive skills, learning is considered as a situated process where the skills, dispositions and self-knowledge that underpin success are grounded in the particular institutional environments, where student teachers engage in reciprocal methods and communities of practice, which embody </w:t>
            </w:r>
            <w:r>
              <w:rPr>
                <w:rFonts w:ascii="Arial" w:hAnsi="Arial" w:cs="Arial"/>
              </w:rPr>
              <w:lastRenderedPageBreak/>
              <w:t>equality and even distribution of power, in coming to know and understand through ongoing processes of participation and engagement (Anderson and McCune, 2013; Lave and Wenger, 1991).</w:t>
            </w:r>
          </w:p>
          <w:p w14:paraId="02A9F91C" w14:textId="77777777" w:rsidR="00BC7204" w:rsidRDefault="00BC7204">
            <w:pPr>
              <w:widowControl w:val="0"/>
              <w:spacing w:after="0" w:line="240" w:lineRule="auto"/>
              <w:rPr>
                <w:rFonts w:ascii="Arial" w:hAnsi="Arial" w:cs="Arial"/>
              </w:rPr>
            </w:pPr>
          </w:p>
          <w:p w14:paraId="02A9F91D" w14:textId="77777777" w:rsidR="00BC7204" w:rsidRDefault="00A4116F">
            <w:pPr>
              <w:widowControl w:val="0"/>
              <w:spacing w:after="0" w:line="240" w:lineRule="auto"/>
              <w:rPr>
                <w:rFonts w:ascii="Arial" w:hAnsi="Arial" w:cs="Arial"/>
              </w:rPr>
            </w:pPr>
            <w:r>
              <w:rPr>
                <w:rFonts w:ascii="Arial" w:hAnsi="Arial" w:cs="Arial"/>
              </w:rPr>
              <w:t xml:space="preserve">This perspective points to a range of social practices through which students are supported to become successful learners such as peer-learning, engagement in learning communities, active learning and problem-based learning, and student teacher mentoring (Brockbank and McGill, 2007; </w:t>
            </w:r>
            <w:proofErr w:type="spellStart"/>
            <w:r>
              <w:rPr>
                <w:rFonts w:ascii="Arial" w:hAnsi="Arial" w:cs="Arial"/>
              </w:rPr>
              <w:t>Falchikov</w:t>
            </w:r>
            <w:proofErr w:type="spellEnd"/>
            <w:r>
              <w:rPr>
                <w:rFonts w:ascii="Arial" w:hAnsi="Arial" w:cs="Arial"/>
              </w:rPr>
              <w:t>, 2002).</w:t>
            </w:r>
          </w:p>
        </w:tc>
        <w:tc>
          <w:tcPr>
            <w:tcW w:w="4252" w:type="dxa"/>
            <w:tcBorders>
              <w:top w:val="single" w:sz="4" w:space="0" w:color="000000"/>
              <w:left w:val="single" w:sz="4" w:space="0" w:color="000000"/>
              <w:bottom w:val="single" w:sz="4" w:space="0" w:color="000000"/>
              <w:right w:val="single" w:sz="4" w:space="0" w:color="000000"/>
            </w:tcBorders>
          </w:tcPr>
          <w:p w14:paraId="02A9F91E" w14:textId="77777777" w:rsidR="00BC7204" w:rsidRDefault="00A4116F">
            <w:pPr>
              <w:widowControl w:val="0"/>
              <w:spacing w:after="0" w:line="240" w:lineRule="auto"/>
              <w:rPr>
                <w:rFonts w:ascii="Arial" w:hAnsi="Arial" w:cs="Arial"/>
              </w:rPr>
            </w:pPr>
            <w:r>
              <w:rPr>
                <w:rFonts w:ascii="Arial" w:hAnsi="Arial" w:cs="Arial"/>
              </w:rPr>
              <w:lastRenderedPageBreak/>
              <w:t xml:space="preserve">                                            </w:t>
            </w:r>
            <w:r>
              <w:rPr>
                <w:rFonts w:ascii="Arial" w:hAnsi="Arial" w:cs="Arial"/>
              </w:rPr>
              <w:t xml:space="preserve">Over the past three decades we have seen the emergence of new perspectives on learning, and it is widely recognised that learning is a social, as opposed to an individual, process. </w:t>
            </w:r>
          </w:p>
          <w:p w14:paraId="02A9F91F" w14:textId="77777777" w:rsidR="00BC7204" w:rsidRDefault="00BC7204">
            <w:pPr>
              <w:widowControl w:val="0"/>
              <w:spacing w:after="0" w:line="240" w:lineRule="auto"/>
              <w:rPr>
                <w:rFonts w:ascii="Arial" w:hAnsi="Arial" w:cs="Arial"/>
              </w:rPr>
            </w:pPr>
          </w:p>
          <w:p w14:paraId="02A9F920" w14:textId="77777777" w:rsidR="00BC7204" w:rsidRDefault="00BC7204">
            <w:pPr>
              <w:widowControl w:val="0"/>
              <w:spacing w:after="0" w:line="240" w:lineRule="auto"/>
              <w:rPr>
                <w:rFonts w:ascii="Arial" w:hAnsi="Arial" w:cs="Arial"/>
              </w:rPr>
            </w:pPr>
          </w:p>
          <w:p w14:paraId="02A9F921" w14:textId="77777777" w:rsidR="00BC7204" w:rsidRDefault="00BC7204">
            <w:pPr>
              <w:widowControl w:val="0"/>
              <w:spacing w:after="0" w:line="240" w:lineRule="auto"/>
              <w:rPr>
                <w:rFonts w:ascii="Arial" w:hAnsi="Arial" w:cs="Arial"/>
              </w:rPr>
            </w:pPr>
          </w:p>
          <w:p w14:paraId="02A9F922" w14:textId="77777777" w:rsidR="00BC7204" w:rsidRDefault="00A4116F">
            <w:pPr>
              <w:widowControl w:val="0"/>
              <w:spacing w:after="0" w:line="240" w:lineRule="auto"/>
              <w:rPr>
                <w:rFonts w:ascii="Arial" w:hAnsi="Arial" w:cs="Arial"/>
              </w:rPr>
            </w:pPr>
            <w:r>
              <w:rPr>
                <w:rFonts w:ascii="Arial" w:hAnsi="Arial" w:cs="Arial"/>
              </w:rPr>
              <w:t xml:space="preserve">Rather than being about acquiring sequential cognitive skills, learning is a situated process where the skills, dispositions and self-knowledge that are crucial to success are grounded in the particular institutional environments, where students come and know and understand through ongoing processes of participation </w:t>
            </w:r>
            <w:r>
              <w:rPr>
                <w:rFonts w:ascii="Arial" w:hAnsi="Arial" w:cs="Arial"/>
              </w:rPr>
              <w:lastRenderedPageBreak/>
              <w:t xml:space="preserve">and engagement (Anderson and McCune 2013; Lave and Wenger 1991). </w:t>
            </w:r>
          </w:p>
          <w:p w14:paraId="02A9F923" w14:textId="77777777" w:rsidR="00BC7204" w:rsidRDefault="00BC7204">
            <w:pPr>
              <w:widowControl w:val="0"/>
              <w:spacing w:after="0" w:line="240" w:lineRule="auto"/>
              <w:rPr>
                <w:rFonts w:ascii="Arial" w:hAnsi="Arial" w:cs="Arial"/>
              </w:rPr>
            </w:pPr>
          </w:p>
          <w:p w14:paraId="02A9F924" w14:textId="77777777" w:rsidR="00BC7204" w:rsidRDefault="00BC7204">
            <w:pPr>
              <w:widowControl w:val="0"/>
              <w:spacing w:after="0" w:line="240" w:lineRule="auto"/>
              <w:rPr>
                <w:rFonts w:ascii="Arial" w:hAnsi="Arial" w:cs="Arial"/>
              </w:rPr>
            </w:pPr>
          </w:p>
          <w:p w14:paraId="02A9F925" w14:textId="77777777" w:rsidR="00BC7204" w:rsidRDefault="00BC7204">
            <w:pPr>
              <w:widowControl w:val="0"/>
              <w:spacing w:after="0" w:line="240" w:lineRule="auto"/>
              <w:rPr>
                <w:rFonts w:ascii="Arial" w:hAnsi="Arial" w:cs="Arial"/>
              </w:rPr>
            </w:pPr>
          </w:p>
          <w:p w14:paraId="02A9F926" w14:textId="77777777" w:rsidR="00BC7204" w:rsidRDefault="00A4116F">
            <w:pPr>
              <w:widowControl w:val="0"/>
              <w:spacing w:after="0" w:line="240" w:lineRule="auto"/>
              <w:rPr>
                <w:rFonts w:ascii="Arial" w:hAnsi="Arial" w:cs="Arial"/>
              </w:rPr>
            </w:pPr>
            <w:r>
              <w:rPr>
                <w:rFonts w:ascii="Arial" w:hAnsi="Arial" w:cs="Arial"/>
              </w:rPr>
              <w:t>This perspective points to a range of social practices through which</w:t>
            </w:r>
          </w:p>
          <w:p w14:paraId="02A9F927" w14:textId="77777777" w:rsidR="00BC7204" w:rsidRDefault="00A4116F">
            <w:pPr>
              <w:widowControl w:val="0"/>
              <w:spacing w:after="0" w:line="240" w:lineRule="auto"/>
              <w:rPr>
                <w:rFonts w:ascii="Arial" w:hAnsi="Arial" w:cs="Arial"/>
                <w:sz w:val="22"/>
                <w:szCs w:val="22"/>
              </w:rPr>
            </w:pPr>
            <w:r>
              <w:rPr>
                <w:rFonts w:ascii="Arial" w:hAnsi="Arial" w:cs="Arial"/>
              </w:rPr>
              <w:t xml:space="preserve">students are supported to become successful learners such as peer learning, active and problem-based learning, and student mentoring (Brockbank and McGill 2007; </w:t>
            </w:r>
            <w:proofErr w:type="spellStart"/>
            <w:r>
              <w:rPr>
                <w:rFonts w:ascii="Arial" w:hAnsi="Arial" w:cs="Arial"/>
              </w:rPr>
              <w:t>Falchikov</w:t>
            </w:r>
            <w:proofErr w:type="spellEnd"/>
            <w:r>
              <w:rPr>
                <w:rFonts w:ascii="Arial" w:hAnsi="Arial" w:cs="Arial"/>
              </w:rPr>
              <w:t xml:space="preserve"> 2002).</w:t>
            </w:r>
          </w:p>
          <w:p w14:paraId="02A9F928" w14:textId="77777777" w:rsidR="00BC7204" w:rsidRDefault="00BC7204">
            <w:pPr>
              <w:widowControl w:val="0"/>
              <w:spacing w:after="0" w:line="240" w:lineRule="auto"/>
              <w:rPr>
                <w:rFonts w:ascii="Arial" w:hAnsi="Arial" w:cs="Arial"/>
                <w:color w:val="000000"/>
                <w:sz w:val="22"/>
                <w:szCs w:val="22"/>
              </w:rPr>
            </w:pPr>
          </w:p>
        </w:tc>
        <w:tc>
          <w:tcPr>
            <w:tcW w:w="1418" w:type="dxa"/>
            <w:tcBorders>
              <w:top w:val="single" w:sz="4" w:space="0" w:color="000000"/>
              <w:left w:val="single" w:sz="4" w:space="0" w:color="000000"/>
              <w:bottom w:val="single" w:sz="4" w:space="0" w:color="000000"/>
              <w:right w:val="single" w:sz="4" w:space="0" w:color="000000"/>
            </w:tcBorders>
          </w:tcPr>
          <w:p w14:paraId="02A9F929" w14:textId="77777777" w:rsidR="00BC7204" w:rsidRDefault="00A4116F">
            <w:pPr>
              <w:widowControl w:val="0"/>
              <w:spacing w:after="0" w:line="240" w:lineRule="auto"/>
              <w:rPr>
                <w:rFonts w:ascii="Arial" w:hAnsi="Arial" w:cs="Arial"/>
                <w:color w:val="000000"/>
                <w:sz w:val="22"/>
                <w:szCs w:val="22"/>
              </w:rPr>
            </w:pPr>
            <w:r>
              <w:rPr>
                <w:rFonts w:ascii="Arial" w:hAnsi="Arial" w:cs="Arial"/>
                <w:color w:val="000000"/>
                <w:sz w:val="22"/>
                <w:szCs w:val="22"/>
              </w:rPr>
              <w:lastRenderedPageBreak/>
              <w:t xml:space="preserve">Verbatim text, identical </w:t>
            </w:r>
            <w:proofErr w:type="spellStart"/>
            <w:r>
              <w:rPr>
                <w:rFonts w:ascii="Arial" w:hAnsi="Arial" w:cs="Arial"/>
                <w:color w:val="000000"/>
                <w:sz w:val="22"/>
                <w:szCs w:val="22"/>
              </w:rPr>
              <w:t>refererences</w:t>
            </w:r>
            <w:proofErr w:type="spellEnd"/>
          </w:p>
        </w:tc>
        <w:tc>
          <w:tcPr>
            <w:tcW w:w="1630" w:type="dxa"/>
            <w:tcBorders>
              <w:top w:val="single" w:sz="4" w:space="0" w:color="000000"/>
              <w:left w:val="single" w:sz="4" w:space="0" w:color="000000"/>
              <w:bottom w:val="single" w:sz="4" w:space="0" w:color="000000"/>
              <w:right w:val="single" w:sz="4" w:space="0" w:color="000000"/>
            </w:tcBorders>
          </w:tcPr>
          <w:p w14:paraId="02A9F92A" w14:textId="77777777" w:rsidR="00BC7204" w:rsidRDefault="00A4116F">
            <w:pPr>
              <w:widowControl w:val="0"/>
              <w:spacing w:after="0" w:line="240" w:lineRule="auto"/>
              <w:rPr>
                <w:rFonts w:ascii="Arial" w:hAnsi="Arial" w:cs="Arial"/>
                <w:color w:val="000000"/>
                <w:sz w:val="22"/>
                <w:szCs w:val="22"/>
              </w:rPr>
            </w:pPr>
            <w:r>
              <w:rPr>
                <w:rFonts w:ascii="Arial" w:hAnsi="Arial" w:cs="Arial"/>
                <w:color w:val="000000"/>
                <w:sz w:val="22"/>
                <w:szCs w:val="22"/>
              </w:rPr>
              <w:t xml:space="preserve">Source is acknowledged, but copying is almost word for word. </w:t>
            </w:r>
          </w:p>
          <w:p w14:paraId="02A9F92B" w14:textId="77777777" w:rsidR="00BC7204" w:rsidRDefault="00BC7204">
            <w:pPr>
              <w:widowControl w:val="0"/>
              <w:spacing w:after="0" w:line="240" w:lineRule="auto"/>
              <w:rPr>
                <w:rFonts w:ascii="Arial" w:hAnsi="Arial" w:cs="Arial"/>
                <w:color w:val="000000"/>
                <w:sz w:val="22"/>
                <w:szCs w:val="22"/>
              </w:rPr>
            </w:pPr>
          </w:p>
          <w:p w14:paraId="02A9F92C" w14:textId="77777777" w:rsidR="00BC7204" w:rsidRDefault="00BC7204">
            <w:pPr>
              <w:widowControl w:val="0"/>
              <w:spacing w:after="0" w:line="240" w:lineRule="auto"/>
              <w:rPr>
                <w:rFonts w:ascii="Arial" w:hAnsi="Arial" w:cs="Arial"/>
                <w:color w:val="000000"/>
                <w:sz w:val="22"/>
                <w:szCs w:val="22"/>
              </w:rPr>
            </w:pPr>
          </w:p>
          <w:p w14:paraId="02A9F92D" w14:textId="77777777" w:rsidR="00BC7204" w:rsidRDefault="00BC7204">
            <w:pPr>
              <w:widowControl w:val="0"/>
              <w:spacing w:after="0" w:line="240" w:lineRule="auto"/>
              <w:rPr>
                <w:rFonts w:ascii="Arial" w:hAnsi="Arial" w:cs="Arial"/>
                <w:color w:val="000000"/>
                <w:sz w:val="22"/>
                <w:szCs w:val="22"/>
              </w:rPr>
            </w:pPr>
          </w:p>
          <w:p w14:paraId="02A9F92E" w14:textId="77777777" w:rsidR="00BC7204" w:rsidRDefault="00BC7204">
            <w:pPr>
              <w:widowControl w:val="0"/>
              <w:spacing w:after="0" w:line="240" w:lineRule="auto"/>
              <w:rPr>
                <w:rFonts w:ascii="Arial" w:hAnsi="Arial" w:cs="Arial"/>
                <w:color w:val="000000"/>
                <w:sz w:val="22"/>
                <w:szCs w:val="22"/>
              </w:rPr>
            </w:pPr>
          </w:p>
          <w:p w14:paraId="02A9F92F" w14:textId="77777777" w:rsidR="00BC7204" w:rsidRDefault="00BC7204">
            <w:pPr>
              <w:widowControl w:val="0"/>
              <w:spacing w:after="0" w:line="240" w:lineRule="auto"/>
              <w:rPr>
                <w:rFonts w:ascii="Arial" w:hAnsi="Arial" w:cs="Arial"/>
                <w:color w:val="000000"/>
                <w:sz w:val="22"/>
                <w:szCs w:val="22"/>
              </w:rPr>
            </w:pPr>
          </w:p>
          <w:p w14:paraId="02A9F930" w14:textId="77777777" w:rsidR="00BC7204" w:rsidRDefault="00BC7204">
            <w:pPr>
              <w:widowControl w:val="0"/>
              <w:spacing w:after="0" w:line="240" w:lineRule="auto"/>
              <w:rPr>
                <w:rFonts w:ascii="Arial" w:hAnsi="Arial" w:cs="Arial"/>
                <w:color w:val="000000"/>
                <w:sz w:val="22"/>
                <w:szCs w:val="22"/>
              </w:rPr>
            </w:pPr>
          </w:p>
          <w:p w14:paraId="02A9F931" w14:textId="77777777" w:rsidR="00BC7204" w:rsidRDefault="00BC7204">
            <w:pPr>
              <w:widowControl w:val="0"/>
              <w:spacing w:after="0" w:line="240" w:lineRule="auto"/>
              <w:rPr>
                <w:rFonts w:ascii="Arial" w:hAnsi="Arial" w:cs="Arial"/>
                <w:color w:val="000000"/>
                <w:sz w:val="22"/>
                <w:szCs w:val="22"/>
              </w:rPr>
            </w:pPr>
          </w:p>
          <w:p w14:paraId="02A9F932" w14:textId="77777777" w:rsidR="00BC7204" w:rsidRDefault="00A4116F">
            <w:pPr>
              <w:widowControl w:val="0"/>
              <w:spacing w:after="0" w:line="240" w:lineRule="auto"/>
              <w:rPr>
                <w:rFonts w:ascii="Arial" w:hAnsi="Arial" w:cs="Arial"/>
                <w:color w:val="000000"/>
                <w:sz w:val="22"/>
                <w:szCs w:val="22"/>
              </w:rPr>
            </w:pPr>
            <w:r>
              <w:rPr>
                <w:rFonts w:ascii="Arial" w:hAnsi="Arial" w:cs="Arial"/>
                <w:color w:val="000000"/>
                <w:sz w:val="22"/>
                <w:szCs w:val="22"/>
              </w:rPr>
              <w:t>‘engage in reciprocal methods’ vs ‘know and understand through’</w:t>
            </w:r>
          </w:p>
          <w:p w14:paraId="02A9F933" w14:textId="77777777" w:rsidR="00BC7204" w:rsidRDefault="00BC7204">
            <w:pPr>
              <w:widowControl w:val="0"/>
              <w:spacing w:after="0" w:line="240" w:lineRule="auto"/>
              <w:rPr>
                <w:rFonts w:ascii="Arial" w:hAnsi="Arial" w:cs="Arial"/>
                <w:color w:val="000000"/>
                <w:sz w:val="22"/>
                <w:szCs w:val="22"/>
              </w:rPr>
            </w:pPr>
          </w:p>
          <w:p w14:paraId="02A9F934" w14:textId="77777777" w:rsidR="00BC7204" w:rsidRDefault="00BC7204">
            <w:pPr>
              <w:widowControl w:val="0"/>
              <w:spacing w:after="0" w:line="240" w:lineRule="auto"/>
              <w:rPr>
                <w:rFonts w:ascii="Arial" w:hAnsi="Arial" w:cs="Arial"/>
                <w:color w:val="000000"/>
                <w:sz w:val="22"/>
                <w:szCs w:val="22"/>
              </w:rPr>
            </w:pPr>
          </w:p>
          <w:p w14:paraId="02A9F935" w14:textId="77777777" w:rsidR="00BC7204" w:rsidRDefault="00A4116F">
            <w:pPr>
              <w:widowControl w:val="0"/>
              <w:spacing w:after="0" w:line="240" w:lineRule="auto"/>
              <w:rPr>
                <w:rFonts w:ascii="Arial" w:hAnsi="Arial" w:cs="Arial"/>
                <w:color w:val="000000"/>
                <w:sz w:val="22"/>
                <w:szCs w:val="22"/>
              </w:rPr>
            </w:pPr>
            <w:r>
              <w:rPr>
                <w:rFonts w:ascii="Arial" w:hAnsi="Arial" w:cs="Arial"/>
                <w:color w:val="000000"/>
                <w:sz w:val="22"/>
                <w:szCs w:val="22"/>
              </w:rPr>
              <w:t>Note identical reference list</w:t>
            </w:r>
          </w:p>
        </w:tc>
      </w:tr>
      <w:tr w:rsidR="00BC7204" w14:paraId="02A9F93D" w14:textId="77777777">
        <w:tc>
          <w:tcPr>
            <w:tcW w:w="845" w:type="dxa"/>
            <w:tcBorders>
              <w:top w:val="single" w:sz="4" w:space="0" w:color="000000"/>
              <w:left w:val="single" w:sz="4" w:space="0" w:color="000000"/>
              <w:bottom w:val="single" w:sz="4" w:space="0" w:color="000000"/>
              <w:right w:val="single" w:sz="4" w:space="0" w:color="000000"/>
            </w:tcBorders>
          </w:tcPr>
          <w:p w14:paraId="02A9F937" w14:textId="77777777" w:rsidR="00BC7204" w:rsidRDefault="00BC7204">
            <w:pPr>
              <w:widowControl w:val="0"/>
              <w:spacing w:after="0" w:line="240" w:lineRule="auto"/>
              <w:rPr>
                <w:rFonts w:ascii="Arial" w:hAnsi="Arial" w:cs="Arial"/>
                <w:color w:val="000000"/>
                <w:sz w:val="22"/>
                <w:szCs w:val="22"/>
              </w:rPr>
            </w:pPr>
          </w:p>
        </w:tc>
        <w:tc>
          <w:tcPr>
            <w:tcW w:w="1135" w:type="dxa"/>
            <w:tcBorders>
              <w:top w:val="single" w:sz="4" w:space="0" w:color="000000"/>
              <w:left w:val="single" w:sz="4" w:space="0" w:color="000000"/>
              <w:bottom w:val="single" w:sz="4" w:space="0" w:color="000000"/>
              <w:right w:val="single" w:sz="4" w:space="0" w:color="000000"/>
            </w:tcBorders>
          </w:tcPr>
          <w:p w14:paraId="02A9F938" w14:textId="77777777" w:rsidR="00BC7204" w:rsidRDefault="00A4116F">
            <w:pPr>
              <w:widowControl w:val="0"/>
              <w:spacing w:after="0" w:line="240" w:lineRule="auto"/>
              <w:rPr>
                <w:rFonts w:ascii="Arial" w:hAnsi="Arial" w:cs="Arial"/>
                <w:b/>
                <w:bCs/>
                <w:color w:val="000000"/>
                <w:sz w:val="22"/>
                <w:szCs w:val="22"/>
              </w:rPr>
            </w:pPr>
            <w:r>
              <w:rPr>
                <w:rFonts w:ascii="Arial" w:hAnsi="Arial" w:cs="Arial"/>
                <w:b/>
                <w:bCs/>
                <w:color w:val="000000"/>
                <w:sz w:val="22"/>
                <w:szCs w:val="22"/>
              </w:rPr>
              <w:t>Christie</w:t>
            </w:r>
          </w:p>
        </w:tc>
        <w:tc>
          <w:tcPr>
            <w:tcW w:w="4677" w:type="dxa"/>
            <w:tcBorders>
              <w:top w:val="single" w:sz="4" w:space="0" w:color="000000"/>
              <w:left w:val="single" w:sz="4" w:space="0" w:color="000000"/>
              <w:bottom w:val="single" w:sz="4" w:space="0" w:color="000000"/>
              <w:right w:val="single" w:sz="4" w:space="0" w:color="000000"/>
            </w:tcBorders>
          </w:tcPr>
          <w:p w14:paraId="02A9F939" w14:textId="77777777" w:rsidR="00BC7204" w:rsidRDefault="00BC7204">
            <w:pPr>
              <w:widowControl w:val="0"/>
              <w:rPr>
                <w:rFonts w:ascii="Arial" w:hAnsi="Arial" w:cs="Arial"/>
                <w:color w:val="000000"/>
                <w:sz w:val="22"/>
                <w:szCs w:val="22"/>
              </w:rPr>
            </w:pPr>
          </w:p>
        </w:tc>
        <w:tc>
          <w:tcPr>
            <w:tcW w:w="4252" w:type="dxa"/>
            <w:tcBorders>
              <w:top w:val="single" w:sz="4" w:space="0" w:color="000000"/>
              <w:left w:val="single" w:sz="4" w:space="0" w:color="000000"/>
              <w:bottom w:val="single" w:sz="4" w:space="0" w:color="000000"/>
              <w:right w:val="single" w:sz="4" w:space="0" w:color="000000"/>
            </w:tcBorders>
          </w:tcPr>
          <w:p w14:paraId="02A9F93A" w14:textId="77777777" w:rsidR="00BC7204" w:rsidRDefault="00BC7204">
            <w:pPr>
              <w:widowControl w:val="0"/>
              <w:spacing w:after="0" w:line="240" w:lineRule="auto"/>
              <w:rPr>
                <w:rFonts w:ascii="Arial" w:hAnsi="Arial" w:cs="Arial"/>
                <w:color w:val="000000"/>
                <w:sz w:val="22"/>
                <w:szCs w:val="22"/>
              </w:rPr>
            </w:pPr>
          </w:p>
        </w:tc>
        <w:tc>
          <w:tcPr>
            <w:tcW w:w="1418" w:type="dxa"/>
            <w:tcBorders>
              <w:top w:val="single" w:sz="4" w:space="0" w:color="000000"/>
              <w:left w:val="single" w:sz="4" w:space="0" w:color="000000"/>
              <w:bottom w:val="single" w:sz="4" w:space="0" w:color="000000"/>
              <w:right w:val="single" w:sz="4" w:space="0" w:color="000000"/>
            </w:tcBorders>
          </w:tcPr>
          <w:p w14:paraId="02A9F93B" w14:textId="77777777" w:rsidR="00BC7204" w:rsidRDefault="00BC7204">
            <w:pPr>
              <w:widowControl w:val="0"/>
              <w:spacing w:after="0" w:line="240" w:lineRule="auto"/>
              <w:rPr>
                <w:rFonts w:ascii="Arial" w:hAnsi="Arial" w:cs="Arial"/>
                <w:color w:val="000000"/>
                <w:sz w:val="22"/>
                <w:szCs w:val="22"/>
              </w:rPr>
            </w:pPr>
          </w:p>
        </w:tc>
        <w:tc>
          <w:tcPr>
            <w:tcW w:w="1630" w:type="dxa"/>
            <w:tcBorders>
              <w:top w:val="single" w:sz="4" w:space="0" w:color="000000"/>
              <w:left w:val="single" w:sz="4" w:space="0" w:color="000000"/>
              <w:bottom w:val="single" w:sz="4" w:space="0" w:color="000000"/>
              <w:right w:val="single" w:sz="4" w:space="0" w:color="000000"/>
            </w:tcBorders>
          </w:tcPr>
          <w:p w14:paraId="02A9F93C" w14:textId="77777777" w:rsidR="00BC7204" w:rsidRDefault="00BC7204">
            <w:pPr>
              <w:widowControl w:val="0"/>
              <w:spacing w:after="0" w:line="240" w:lineRule="auto"/>
              <w:rPr>
                <w:rFonts w:ascii="Arial" w:hAnsi="Arial" w:cs="Arial"/>
                <w:sz w:val="22"/>
                <w:szCs w:val="22"/>
              </w:rPr>
            </w:pPr>
          </w:p>
        </w:tc>
      </w:tr>
      <w:tr w:rsidR="00BC7204" w14:paraId="02A9F947" w14:textId="77777777">
        <w:tc>
          <w:tcPr>
            <w:tcW w:w="845" w:type="dxa"/>
            <w:tcBorders>
              <w:top w:val="single" w:sz="4" w:space="0" w:color="000000"/>
              <w:left w:val="single" w:sz="4" w:space="0" w:color="000000"/>
              <w:bottom w:val="single" w:sz="4" w:space="0" w:color="000000"/>
              <w:right w:val="single" w:sz="4" w:space="0" w:color="000000"/>
            </w:tcBorders>
          </w:tcPr>
          <w:p w14:paraId="02A9F93E" w14:textId="77777777" w:rsidR="00BC7204" w:rsidRDefault="00A4116F">
            <w:pPr>
              <w:widowControl w:val="0"/>
              <w:spacing w:after="0" w:line="240" w:lineRule="auto"/>
              <w:rPr>
                <w:rFonts w:ascii="Arial" w:hAnsi="Arial" w:cs="Arial"/>
                <w:color w:val="000000"/>
                <w:sz w:val="22"/>
                <w:szCs w:val="22"/>
              </w:rPr>
            </w:pPr>
            <w:r>
              <w:rPr>
                <w:rFonts w:ascii="Arial" w:hAnsi="Arial" w:cs="Arial"/>
                <w:color w:val="000000"/>
                <w:sz w:val="22"/>
                <w:szCs w:val="22"/>
              </w:rPr>
              <w:t>109</w:t>
            </w:r>
          </w:p>
        </w:tc>
        <w:tc>
          <w:tcPr>
            <w:tcW w:w="1135" w:type="dxa"/>
            <w:tcBorders>
              <w:top w:val="single" w:sz="4" w:space="0" w:color="000000"/>
              <w:left w:val="single" w:sz="4" w:space="0" w:color="000000"/>
              <w:bottom w:val="single" w:sz="4" w:space="0" w:color="000000"/>
              <w:right w:val="single" w:sz="4" w:space="0" w:color="000000"/>
            </w:tcBorders>
          </w:tcPr>
          <w:p w14:paraId="02A9F93F" w14:textId="77777777" w:rsidR="00BC7204" w:rsidRDefault="00A4116F">
            <w:pPr>
              <w:widowControl w:val="0"/>
              <w:spacing w:after="0" w:line="240" w:lineRule="auto"/>
              <w:rPr>
                <w:rFonts w:ascii="Arial" w:hAnsi="Arial" w:cs="Arial"/>
                <w:color w:val="000000"/>
              </w:rPr>
            </w:pPr>
            <w:r>
              <w:rPr>
                <w:rFonts w:ascii="Arial" w:hAnsi="Arial" w:cs="Arial"/>
                <w:color w:val="000000"/>
              </w:rPr>
              <w:t>959</w:t>
            </w:r>
          </w:p>
        </w:tc>
        <w:tc>
          <w:tcPr>
            <w:tcW w:w="4677" w:type="dxa"/>
            <w:tcBorders>
              <w:top w:val="single" w:sz="4" w:space="0" w:color="000000"/>
              <w:left w:val="single" w:sz="4" w:space="0" w:color="000000"/>
              <w:bottom w:val="single" w:sz="4" w:space="0" w:color="000000"/>
              <w:right w:val="single" w:sz="4" w:space="0" w:color="000000"/>
            </w:tcBorders>
          </w:tcPr>
          <w:p w14:paraId="02A9F940" w14:textId="77777777" w:rsidR="00BC7204" w:rsidRDefault="00A4116F">
            <w:pPr>
              <w:widowControl w:val="0"/>
              <w:rPr>
                <w:rFonts w:ascii="Arial" w:hAnsi="Arial" w:cs="Arial"/>
                <w:color w:val="000000"/>
              </w:rPr>
            </w:pPr>
            <w:r>
              <w:rPr>
                <w:rFonts w:ascii="Arial" w:hAnsi="Arial" w:cs="Arial"/>
                <w:color w:val="000000"/>
              </w:rPr>
              <w:t>is particularly limited to the representation of agency versus passivity: who is presented as active and as setting the agenda in the mentoring relationship, and who is presented as a passive recipient of the scheme.</w:t>
            </w:r>
          </w:p>
        </w:tc>
        <w:tc>
          <w:tcPr>
            <w:tcW w:w="4252" w:type="dxa"/>
            <w:tcBorders>
              <w:top w:val="single" w:sz="4" w:space="0" w:color="000000"/>
              <w:left w:val="single" w:sz="4" w:space="0" w:color="000000"/>
              <w:bottom w:val="single" w:sz="4" w:space="0" w:color="000000"/>
              <w:right w:val="single" w:sz="4" w:space="0" w:color="000000"/>
            </w:tcBorders>
          </w:tcPr>
          <w:p w14:paraId="02A9F941" w14:textId="77777777" w:rsidR="00BC7204" w:rsidRDefault="00A4116F">
            <w:pPr>
              <w:widowControl w:val="0"/>
              <w:spacing w:after="0" w:line="240" w:lineRule="auto"/>
              <w:rPr>
                <w:rFonts w:ascii="Arial" w:hAnsi="Arial" w:cs="Arial"/>
                <w:sz w:val="22"/>
                <w:szCs w:val="22"/>
              </w:rPr>
            </w:pPr>
            <w:r>
              <w:rPr>
                <w:rFonts w:ascii="Arial" w:hAnsi="Arial" w:cs="Arial"/>
              </w:rPr>
              <w:t>is particularly limited to the representation of agency versus passivity: who is presented as active and as setting the agenda in the mentoring relationship, and who is presented as a passive recipient of the scheme</w:t>
            </w:r>
          </w:p>
          <w:p w14:paraId="02A9F942" w14:textId="77777777" w:rsidR="00BC7204" w:rsidRDefault="00BC7204">
            <w:pPr>
              <w:widowControl w:val="0"/>
              <w:spacing w:after="0" w:line="240" w:lineRule="auto"/>
              <w:rPr>
                <w:rFonts w:ascii="Arial" w:hAnsi="Arial" w:cs="Arial"/>
                <w:color w:val="000000"/>
                <w:sz w:val="22"/>
                <w:szCs w:val="22"/>
              </w:rPr>
            </w:pPr>
          </w:p>
          <w:p w14:paraId="02A9F943" w14:textId="77777777" w:rsidR="00BC7204" w:rsidRDefault="00BC7204">
            <w:pPr>
              <w:widowControl w:val="0"/>
              <w:spacing w:after="0" w:line="240" w:lineRule="auto"/>
              <w:rPr>
                <w:rFonts w:ascii="Arial" w:hAnsi="Arial" w:cs="Arial"/>
                <w:color w:val="000000"/>
                <w:sz w:val="22"/>
                <w:szCs w:val="22"/>
              </w:rPr>
            </w:pPr>
          </w:p>
          <w:p w14:paraId="02A9F944" w14:textId="77777777" w:rsidR="00BC7204" w:rsidRDefault="00BC7204">
            <w:pPr>
              <w:widowControl w:val="0"/>
              <w:spacing w:after="0" w:line="240" w:lineRule="auto"/>
              <w:rPr>
                <w:rFonts w:ascii="Arial" w:hAnsi="Arial" w:cs="Arial"/>
                <w:color w:val="000000"/>
                <w:sz w:val="22"/>
                <w:szCs w:val="22"/>
              </w:rPr>
            </w:pPr>
          </w:p>
        </w:tc>
        <w:tc>
          <w:tcPr>
            <w:tcW w:w="1418" w:type="dxa"/>
            <w:tcBorders>
              <w:top w:val="single" w:sz="4" w:space="0" w:color="000000"/>
              <w:left w:val="single" w:sz="4" w:space="0" w:color="000000"/>
              <w:bottom w:val="single" w:sz="4" w:space="0" w:color="000000"/>
              <w:right w:val="single" w:sz="4" w:space="0" w:color="000000"/>
            </w:tcBorders>
          </w:tcPr>
          <w:p w14:paraId="02A9F945" w14:textId="77777777" w:rsidR="00BC7204" w:rsidRDefault="00A4116F">
            <w:pPr>
              <w:widowControl w:val="0"/>
              <w:spacing w:after="0" w:line="240" w:lineRule="auto"/>
              <w:rPr>
                <w:rFonts w:ascii="Arial" w:hAnsi="Arial" w:cs="Arial"/>
                <w:color w:val="000000"/>
                <w:sz w:val="22"/>
                <w:szCs w:val="22"/>
              </w:rPr>
            </w:pPr>
            <w:r>
              <w:rPr>
                <w:rFonts w:ascii="Arial" w:hAnsi="Arial" w:cs="Arial"/>
                <w:color w:val="000000"/>
                <w:sz w:val="22"/>
                <w:szCs w:val="22"/>
              </w:rPr>
              <w:t>Verbatim</w:t>
            </w:r>
          </w:p>
        </w:tc>
        <w:tc>
          <w:tcPr>
            <w:tcW w:w="1630" w:type="dxa"/>
            <w:tcBorders>
              <w:top w:val="single" w:sz="4" w:space="0" w:color="000000"/>
              <w:left w:val="single" w:sz="4" w:space="0" w:color="000000"/>
              <w:bottom w:val="single" w:sz="4" w:space="0" w:color="000000"/>
              <w:right w:val="single" w:sz="4" w:space="0" w:color="000000"/>
            </w:tcBorders>
          </w:tcPr>
          <w:p w14:paraId="02A9F946" w14:textId="77777777" w:rsidR="00BC7204" w:rsidRDefault="00BC7204">
            <w:pPr>
              <w:widowControl w:val="0"/>
              <w:spacing w:after="0" w:line="240" w:lineRule="auto"/>
              <w:rPr>
                <w:rFonts w:ascii="Arial" w:hAnsi="Arial" w:cs="Arial"/>
                <w:sz w:val="22"/>
                <w:szCs w:val="22"/>
              </w:rPr>
            </w:pPr>
          </w:p>
        </w:tc>
      </w:tr>
      <w:tr w:rsidR="00BC7204" w14:paraId="02A9F950" w14:textId="77777777">
        <w:tc>
          <w:tcPr>
            <w:tcW w:w="845" w:type="dxa"/>
            <w:tcBorders>
              <w:top w:val="single" w:sz="4" w:space="0" w:color="000000"/>
              <w:left w:val="single" w:sz="4" w:space="0" w:color="000000"/>
              <w:bottom w:val="single" w:sz="4" w:space="0" w:color="000000"/>
              <w:right w:val="single" w:sz="4" w:space="0" w:color="000000"/>
            </w:tcBorders>
          </w:tcPr>
          <w:p w14:paraId="02A9F948" w14:textId="77777777" w:rsidR="00BC7204" w:rsidRDefault="00BC7204">
            <w:pPr>
              <w:widowControl w:val="0"/>
              <w:spacing w:after="0" w:line="240" w:lineRule="auto"/>
              <w:rPr>
                <w:rFonts w:ascii="Arial" w:hAnsi="Arial" w:cs="Arial"/>
                <w:color w:val="000000"/>
                <w:sz w:val="22"/>
                <w:szCs w:val="22"/>
              </w:rPr>
            </w:pPr>
          </w:p>
        </w:tc>
        <w:tc>
          <w:tcPr>
            <w:tcW w:w="1135" w:type="dxa"/>
            <w:tcBorders>
              <w:top w:val="single" w:sz="4" w:space="0" w:color="000000"/>
              <w:left w:val="single" w:sz="4" w:space="0" w:color="000000"/>
              <w:bottom w:val="single" w:sz="4" w:space="0" w:color="000000"/>
              <w:right w:val="single" w:sz="4" w:space="0" w:color="000000"/>
            </w:tcBorders>
          </w:tcPr>
          <w:p w14:paraId="02A9F949" w14:textId="77777777" w:rsidR="00BC7204" w:rsidRDefault="00A4116F">
            <w:pPr>
              <w:widowControl w:val="0"/>
              <w:spacing w:after="0" w:line="240" w:lineRule="auto"/>
              <w:rPr>
                <w:rFonts w:ascii="Arial" w:hAnsi="Arial" w:cs="Arial"/>
                <w:b/>
                <w:bCs/>
                <w:color w:val="000000"/>
                <w:sz w:val="22"/>
                <w:szCs w:val="22"/>
              </w:rPr>
            </w:pPr>
            <w:r>
              <w:rPr>
                <w:rFonts w:ascii="Arial" w:hAnsi="Arial" w:cs="Arial"/>
                <w:b/>
                <w:bCs/>
                <w:color w:val="000000"/>
                <w:sz w:val="22"/>
                <w:szCs w:val="22"/>
              </w:rPr>
              <w:t>Peters and Le Cornu</w:t>
            </w:r>
          </w:p>
        </w:tc>
        <w:tc>
          <w:tcPr>
            <w:tcW w:w="4677" w:type="dxa"/>
            <w:tcBorders>
              <w:top w:val="single" w:sz="4" w:space="0" w:color="000000"/>
              <w:left w:val="single" w:sz="4" w:space="0" w:color="000000"/>
              <w:bottom w:val="single" w:sz="4" w:space="0" w:color="000000"/>
              <w:right w:val="single" w:sz="4" w:space="0" w:color="000000"/>
            </w:tcBorders>
          </w:tcPr>
          <w:p w14:paraId="02A9F94A" w14:textId="77777777" w:rsidR="00BC7204" w:rsidRDefault="00BC7204">
            <w:pPr>
              <w:widowControl w:val="0"/>
              <w:rPr>
                <w:rFonts w:ascii="Arial" w:hAnsi="Arial" w:cs="Arial"/>
                <w:color w:val="000000"/>
                <w:sz w:val="22"/>
                <w:szCs w:val="22"/>
              </w:rPr>
            </w:pPr>
          </w:p>
        </w:tc>
        <w:tc>
          <w:tcPr>
            <w:tcW w:w="4252" w:type="dxa"/>
            <w:tcBorders>
              <w:top w:val="single" w:sz="4" w:space="0" w:color="000000"/>
              <w:left w:val="single" w:sz="4" w:space="0" w:color="000000"/>
              <w:bottom w:val="single" w:sz="4" w:space="0" w:color="000000"/>
              <w:right w:val="single" w:sz="4" w:space="0" w:color="000000"/>
            </w:tcBorders>
          </w:tcPr>
          <w:p w14:paraId="02A9F94B" w14:textId="77777777" w:rsidR="00BC7204" w:rsidRDefault="00A4116F">
            <w:pPr>
              <w:widowControl w:val="0"/>
              <w:spacing w:after="0" w:line="240" w:lineRule="auto"/>
              <w:rPr>
                <w:rFonts w:ascii="Arial" w:hAnsi="Arial" w:cs="Arial"/>
                <w:b/>
                <w:bCs/>
                <w:color w:val="000000"/>
                <w:sz w:val="22"/>
                <w:szCs w:val="22"/>
              </w:rPr>
            </w:pPr>
            <w:r>
              <w:rPr>
                <w:rFonts w:ascii="Arial" w:hAnsi="Arial" w:cs="Arial"/>
                <w:b/>
                <w:bCs/>
                <w:color w:val="000000"/>
                <w:sz w:val="22"/>
                <w:szCs w:val="22"/>
              </w:rPr>
              <w:t>Towards Constructivist Teaching and Learning (report for the South Australian government, in conjunction with Learning to Learn Project, November 2003) (link broken)</w:t>
            </w:r>
          </w:p>
          <w:p w14:paraId="02A9F94C" w14:textId="77777777" w:rsidR="00BC7204" w:rsidRDefault="00BC7204">
            <w:pPr>
              <w:widowControl w:val="0"/>
              <w:spacing w:after="0" w:line="240" w:lineRule="auto"/>
              <w:rPr>
                <w:rFonts w:ascii="Arial" w:hAnsi="Arial" w:cs="Arial"/>
                <w:b/>
                <w:bCs/>
                <w:color w:val="000000"/>
                <w:sz w:val="22"/>
                <w:szCs w:val="22"/>
              </w:rPr>
            </w:pPr>
          </w:p>
          <w:p w14:paraId="02A9F94D" w14:textId="77777777" w:rsidR="00BC7204" w:rsidRDefault="00A4116F">
            <w:pPr>
              <w:widowControl w:val="0"/>
              <w:spacing w:after="0" w:line="240" w:lineRule="auto"/>
              <w:rPr>
                <w:rFonts w:ascii="Arial" w:hAnsi="Arial" w:cs="Arial"/>
                <w:color w:val="000000"/>
                <w:sz w:val="22"/>
                <w:szCs w:val="22"/>
              </w:rPr>
            </w:pPr>
            <w:r>
              <w:rPr>
                <w:rFonts w:ascii="Arial" w:hAnsi="Arial" w:cs="Arial"/>
                <w:b/>
                <w:bCs/>
                <w:color w:val="000000"/>
                <w:sz w:val="22"/>
                <w:szCs w:val="22"/>
              </w:rPr>
              <w:t>Authors: Judy Peters, Rosie Le Cornu (University of South Australia) &amp; Janet Collins (Open University, UK)</w:t>
            </w:r>
          </w:p>
        </w:tc>
        <w:tc>
          <w:tcPr>
            <w:tcW w:w="1418" w:type="dxa"/>
            <w:tcBorders>
              <w:top w:val="single" w:sz="4" w:space="0" w:color="000000"/>
              <w:left w:val="single" w:sz="4" w:space="0" w:color="000000"/>
              <w:bottom w:val="single" w:sz="4" w:space="0" w:color="000000"/>
              <w:right w:val="single" w:sz="4" w:space="0" w:color="000000"/>
            </w:tcBorders>
          </w:tcPr>
          <w:p w14:paraId="02A9F94E" w14:textId="77777777" w:rsidR="00BC7204" w:rsidRDefault="00BC7204">
            <w:pPr>
              <w:widowControl w:val="0"/>
              <w:spacing w:after="0" w:line="240" w:lineRule="auto"/>
              <w:rPr>
                <w:rFonts w:ascii="Arial" w:hAnsi="Arial" w:cs="Arial"/>
                <w:color w:val="000000"/>
                <w:sz w:val="22"/>
                <w:szCs w:val="22"/>
              </w:rPr>
            </w:pPr>
          </w:p>
        </w:tc>
        <w:tc>
          <w:tcPr>
            <w:tcW w:w="1630" w:type="dxa"/>
            <w:tcBorders>
              <w:top w:val="single" w:sz="4" w:space="0" w:color="000000"/>
              <w:left w:val="single" w:sz="4" w:space="0" w:color="000000"/>
              <w:bottom w:val="single" w:sz="4" w:space="0" w:color="000000"/>
              <w:right w:val="single" w:sz="4" w:space="0" w:color="000000"/>
            </w:tcBorders>
          </w:tcPr>
          <w:p w14:paraId="02A9F94F" w14:textId="77777777" w:rsidR="00BC7204" w:rsidRDefault="00BC7204">
            <w:pPr>
              <w:widowControl w:val="0"/>
              <w:spacing w:after="0" w:line="240" w:lineRule="auto"/>
              <w:rPr>
                <w:rFonts w:ascii="Arial" w:hAnsi="Arial" w:cs="Arial"/>
                <w:sz w:val="22"/>
                <w:szCs w:val="22"/>
              </w:rPr>
            </w:pPr>
          </w:p>
        </w:tc>
      </w:tr>
      <w:tr w:rsidR="00BC7204" w14:paraId="02A9F95D" w14:textId="77777777">
        <w:tc>
          <w:tcPr>
            <w:tcW w:w="845" w:type="dxa"/>
            <w:tcBorders>
              <w:top w:val="single" w:sz="4" w:space="0" w:color="000000"/>
              <w:left w:val="single" w:sz="4" w:space="0" w:color="000000"/>
              <w:bottom w:val="single" w:sz="4" w:space="0" w:color="000000"/>
              <w:right w:val="single" w:sz="4" w:space="0" w:color="000000"/>
            </w:tcBorders>
          </w:tcPr>
          <w:p w14:paraId="02A9F951" w14:textId="77777777" w:rsidR="00BC7204" w:rsidRDefault="00A4116F">
            <w:pPr>
              <w:widowControl w:val="0"/>
              <w:spacing w:after="0" w:line="240" w:lineRule="auto"/>
              <w:rPr>
                <w:rFonts w:ascii="Arial" w:hAnsi="Arial" w:cs="Arial"/>
                <w:color w:val="000000"/>
                <w:sz w:val="22"/>
                <w:szCs w:val="22"/>
              </w:rPr>
            </w:pPr>
            <w:r>
              <w:rPr>
                <w:rFonts w:ascii="Arial" w:hAnsi="Arial" w:cs="Arial"/>
                <w:color w:val="000000"/>
                <w:sz w:val="22"/>
                <w:szCs w:val="22"/>
              </w:rPr>
              <w:t>93</w:t>
            </w:r>
          </w:p>
        </w:tc>
        <w:tc>
          <w:tcPr>
            <w:tcW w:w="1135" w:type="dxa"/>
            <w:tcBorders>
              <w:top w:val="single" w:sz="4" w:space="0" w:color="000000"/>
              <w:left w:val="single" w:sz="4" w:space="0" w:color="000000"/>
              <w:bottom w:val="single" w:sz="4" w:space="0" w:color="000000"/>
              <w:right w:val="single" w:sz="4" w:space="0" w:color="000000"/>
            </w:tcBorders>
          </w:tcPr>
          <w:p w14:paraId="02A9F952" w14:textId="77777777" w:rsidR="00BC7204" w:rsidRDefault="00A4116F">
            <w:pPr>
              <w:widowControl w:val="0"/>
              <w:spacing w:after="0" w:line="240" w:lineRule="auto"/>
              <w:rPr>
                <w:rFonts w:ascii="Arial" w:hAnsi="Arial" w:cs="Arial"/>
                <w:color w:val="000000"/>
                <w:sz w:val="22"/>
                <w:szCs w:val="22"/>
              </w:rPr>
            </w:pPr>
            <w:r>
              <w:rPr>
                <w:rFonts w:ascii="Arial" w:hAnsi="Arial" w:cs="Arial"/>
                <w:color w:val="000000"/>
                <w:sz w:val="22"/>
                <w:szCs w:val="22"/>
              </w:rPr>
              <w:t>3</w:t>
            </w:r>
          </w:p>
        </w:tc>
        <w:tc>
          <w:tcPr>
            <w:tcW w:w="4677" w:type="dxa"/>
            <w:tcBorders>
              <w:top w:val="single" w:sz="4" w:space="0" w:color="000000"/>
              <w:left w:val="single" w:sz="4" w:space="0" w:color="000000"/>
              <w:bottom w:val="single" w:sz="4" w:space="0" w:color="000000"/>
              <w:right w:val="single" w:sz="4" w:space="0" w:color="000000"/>
            </w:tcBorders>
          </w:tcPr>
          <w:p w14:paraId="02A9F953" w14:textId="77777777" w:rsidR="00BC7204" w:rsidRDefault="00A4116F">
            <w:pPr>
              <w:widowControl w:val="0"/>
              <w:spacing w:after="0" w:line="240" w:lineRule="auto"/>
              <w:rPr>
                <w:rFonts w:ascii="Arial" w:hAnsi="Arial" w:cs="Arial"/>
              </w:rPr>
            </w:pPr>
            <w:r>
              <w:rPr>
                <w:rFonts w:ascii="Arial" w:hAnsi="Arial" w:cs="Arial"/>
              </w:rPr>
              <w:t>Kensington-Miller (2011) notes that central to constructivism is the notion that learners’ [sic] play an active role in constructing their own meaning, while proponents of social constructivism also acknowledge the role of social interaction in learning</w:t>
            </w:r>
          </w:p>
        </w:tc>
        <w:tc>
          <w:tcPr>
            <w:tcW w:w="4252" w:type="dxa"/>
            <w:tcBorders>
              <w:top w:val="single" w:sz="4" w:space="0" w:color="000000"/>
              <w:left w:val="single" w:sz="4" w:space="0" w:color="000000"/>
              <w:bottom w:val="single" w:sz="4" w:space="0" w:color="000000"/>
              <w:right w:val="single" w:sz="4" w:space="0" w:color="000000"/>
            </w:tcBorders>
          </w:tcPr>
          <w:p w14:paraId="02A9F954" w14:textId="77777777" w:rsidR="00BC7204" w:rsidRDefault="00BC7204">
            <w:pPr>
              <w:widowControl w:val="0"/>
              <w:spacing w:after="0" w:line="240" w:lineRule="auto"/>
              <w:rPr>
                <w:rFonts w:ascii="Arial" w:hAnsi="Arial" w:cs="Arial"/>
                <w:color w:val="000000"/>
                <w:sz w:val="22"/>
                <w:szCs w:val="22"/>
              </w:rPr>
            </w:pPr>
          </w:p>
          <w:p w14:paraId="02A9F955" w14:textId="77777777" w:rsidR="00BC7204" w:rsidRDefault="00A4116F">
            <w:pPr>
              <w:widowControl w:val="0"/>
              <w:spacing w:after="0" w:line="240" w:lineRule="auto"/>
              <w:rPr>
                <w:rFonts w:ascii="Arial" w:hAnsi="Arial" w:cs="Arial"/>
              </w:rPr>
            </w:pPr>
            <w:r>
              <w:rPr>
                <w:rFonts w:ascii="Arial" w:hAnsi="Arial" w:cs="Arial"/>
              </w:rPr>
              <w:t xml:space="preserve">Central to constructivism is the notion that learners play an active role in ‘constructing’ their own meaning. </w:t>
            </w:r>
          </w:p>
          <w:p w14:paraId="02A9F956" w14:textId="77777777" w:rsidR="00BC7204" w:rsidRDefault="00BC7204">
            <w:pPr>
              <w:widowControl w:val="0"/>
              <w:spacing w:after="0" w:line="240" w:lineRule="auto"/>
              <w:rPr>
                <w:rFonts w:ascii="Arial" w:hAnsi="Arial" w:cs="Arial"/>
                <w:color w:val="000000"/>
                <w:sz w:val="22"/>
                <w:szCs w:val="22"/>
              </w:rPr>
            </w:pPr>
          </w:p>
          <w:p w14:paraId="02A9F957" w14:textId="77777777" w:rsidR="00BC7204" w:rsidRDefault="00A4116F">
            <w:pPr>
              <w:widowControl w:val="0"/>
              <w:spacing w:after="0" w:line="240" w:lineRule="auto"/>
              <w:rPr>
                <w:rFonts w:ascii="Arial" w:hAnsi="Arial" w:cs="Arial"/>
              </w:rPr>
            </w:pPr>
            <w:r>
              <w:rPr>
                <w:rFonts w:ascii="Arial" w:hAnsi="Arial" w:cs="Arial"/>
              </w:rPr>
              <w:t xml:space="preserve">Proponents of social constructivism also acknowledge the importance of the ‘environment in which learning is taking place’ and ‘learning that requires social </w:t>
            </w:r>
            <w:proofErr w:type="gramStart"/>
            <w:r>
              <w:rPr>
                <w:rFonts w:ascii="Arial" w:hAnsi="Arial" w:cs="Arial"/>
              </w:rPr>
              <w:t>interaction ’</w:t>
            </w:r>
            <w:proofErr w:type="gramEnd"/>
            <w:r>
              <w:rPr>
                <w:rFonts w:ascii="Arial" w:hAnsi="Arial" w:cs="Arial"/>
              </w:rPr>
              <w:t xml:space="preserve"> (Richardson, 1999, p. 147). </w:t>
            </w:r>
          </w:p>
          <w:p w14:paraId="02A9F958" w14:textId="77777777" w:rsidR="00BC7204" w:rsidRDefault="00BC7204">
            <w:pPr>
              <w:widowControl w:val="0"/>
              <w:spacing w:after="0" w:line="240" w:lineRule="auto"/>
              <w:rPr>
                <w:rFonts w:ascii="Arial" w:hAnsi="Arial" w:cs="Arial"/>
                <w:color w:val="000000"/>
                <w:sz w:val="22"/>
                <w:szCs w:val="22"/>
              </w:rPr>
            </w:pPr>
          </w:p>
        </w:tc>
        <w:tc>
          <w:tcPr>
            <w:tcW w:w="1418" w:type="dxa"/>
            <w:tcBorders>
              <w:top w:val="single" w:sz="4" w:space="0" w:color="000000"/>
              <w:left w:val="single" w:sz="4" w:space="0" w:color="000000"/>
              <w:bottom w:val="single" w:sz="4" w:space="0" w:color="000000"/>
              <w:right w:val="single" w:sz="4" w:space="0" w:color="000000"/>
            </w:tcBorders>
          </w:tcPr>
          <w:p w14:paraId="02A9F959" w14:textId="77777777" w:rsidR="00BC7204" w:rsidRDefault="00A4116F">
            <w:pPr>
              <w:widowControl w:val="0"/>
              <w:spacing w:after="0" w:line="240" w:lineRule="auto"/>
              <w:rPr>
                <w:rFonts w:ascii="Arial" w:hAnsi="Arial" w:cs="Arial"/>
                <w:color w:val="000000"/>
                <w:sz w:val="22"/>
                <w:szCs w:val="22"/>
              </w:rPr>
            </w:pPr>
            <w:r>
              <w:rPr>
                <w:rFonts w:ascii="Arial" w:hAnsi="Arial" w:cs="Arial"/>
                <w:color w:val="000000"/>
                <w:sz w:val="22"/>
                <w:szCs w:val="22"/>
              </w:rPr>
              <w:t>Verbatim text</w:t>
            </w:r>
          </w:p>
        </w:tc>
        <w:tc>
          <w:tcPr>
            <w:tcW w:w="1630" w:type="dxa"/>
            <w:tcBorders>
              <w:top w:val="single" w:sz="4" w:space="0" w:color="000000"/>
              <w:left w:val="single" w:sz="4" w:space="0" w:color="000000"/>
              <w:bottom w:val="single" w:sz="4" w:space="0" w:color="000000"/>
              <w:right w:val="single" w:sz="4" w:space="0" w:color="000000"/>
            </w:tcBorders>
          </w:tcPr>
          <w:p w14:paraId="02A9F95A" w14:textId="77777777" w:rsidR="00BC7204" w:rsidRDefault="00A4116F">
            <w:pPr>
              <w:widowControl w:val="0"/>
              <w:spacing w:after="0" w:line="240" w:lineRule="auto"/>
              <w:rPr>
                <w:rFonts w:ascii="Arial" w:hAnsi="Arial" w:cs="Arial"/>
                <w:sz w:val="22"/>
                <w:szCs w:val="22"/>
              </w:rPr>
            </w:pPr>
            <w:r>
              <w:rPr>
                <w:rFonts w:ascii="Arial" w:hAnsi="Arial" w:cs="Arial"/>
                <w:sz w:val="22"/>
                <w:szCs w:val="22"/>
              </w:rPr>
              <w:t>Note use of ‘proponents of social constructivism’ in both texts</w:t>
            </w:r>
          </w:p>
          <w:p w14:paraId="02A9F95B" w14:textId="77777777" w:rsidR="00BC7204" w:rsidRDefault="00BC7204">
            <w:pPr>
              <w:widowControl w:val="0"/>
              <w:spacing w:after="0" w:line="240" w:lineRule="auto"/>
              <w:rPr>
                <w:rFonts w:ascii="Arial" w:hAnsi="Arial" w:cs="Arial"/>
                <w:sz w:val="22"/>
                <w:szCs w:val="22"/>
              </w:rPr>
            </w:pPr>
          </w:p>
          <w:p w14:paraId="02A9F95C" w14:textId="77777777" w:rsidR="00BC7204" w:rsidRDefault="00A4116F">
            <w:pPr>
              <w:widowControl w:val="0"/>
              <w:spacing w:after="0" w:line="240" w:lineRule="auto"/>
              <w:rPr>
                <w:rFonts w:ascii="Arial" w:hAnsi="Arial" w:cs="Arial"/>
                <w:sz w:val="22"/>
                <w:szCs w:val="22"/>
              </w:rPr>
            </w:pPr>
            <w:r>
              <w:rPr>
                <w:rFonts w:ascii="Arial" w:hAnsi="Arial" w:cs="Arial"/>
                <w:sz w:val="22"/>
                <w:szCs w:val="22"/>
              </w:rPr>
              <w:t>Kensington – Miller does not mention constructivism</w:t>
            </w:r>
          </w:p>
        </w:tc>
      </w:tr>
      <w:tr w:rsidR="00BC7204" w14:paraId="02A9F967" w14:textId="77777777">
        <w:tc>
          <w:tcPr>
            <w:tcW w:w="845" w:type="dxa"/>
            <w:tcBorders>
              <w:top w:val="single" w:sz="4" w:space="0" w:color="000000"/>
              <w:left w:val="single" w:sz="4" w:space="0" w:color="000000"/>
              <w:bottom w:val="single" w:sz="4" w:space="0" w:color="000000"/>
              <w:right w:val="single" w:sz="4" w:space="0" w:color="000000"/>
            </w:tcBorders>
          </w:tcPr>
          <w:p w14:paraId="02A9F95E" w14:textId="77777777" w:rsidR="00BC7204" w:rsidRDefault="00A4116F">
            <w:pPr>
              <w:widowControl w:val="0"/>
              <w:spacing w:after="0" w:line="240" w:lineRule="auto"/>
              <w:rPr>
                <w:rFonts w:ascii="Arial" w:hAnsi="Arial" w:cs="Arial"/>
                <w:color w:val="000000"/>
                <w:sz w:val="22"/>
                <w:szCs w:val="22"/>
              </w:rPr>
            </w:pPr>
            <w:r>
              <w:rPr>
                <w:rFonts w:ascii="Arial" w:hAnsi="Arial" w:cs="Arial"/>
                <w:color w:val="000000"/>
                <w:sz w:val="22"/>
                <w:szCs w:val="22"/>
              </w:rPr>
              <w:t>93</w:t>
            </w:r>
          </w:p>
        </w:tc>
        <w:tc>
          <w:tcPr>
            <w:tcW w:w="1135" w:type="dxa"/>
            <w:tcBorders>
              <w:top w:val="single" w:sz="4" w:space="0" w:color="000000"/>
              <w:left w:val="single" w:sz="4" w:space="0" w:color="000000"/>
              <w:bottom w:val="single" w:sz="4" w:space="0" w:color="000000"/>
              <w:right w:val="single" w:sz="4" w:space="0" w:color="000000"/>
            </w:tcBorders>
          </w:tcPr>
          <w:p w14:paraId="02A9F95F" w14:textId="77777777" w:rsidR="00BC7204" w:rsidRDefault="00A4116F">
            <w:pPr>
              <w:widowControl w:val="0"/>
              <w:spacing w:after="0" w:line="240" w:lineRule="auto"/>
              <w:rPr>
                <w:rFonts w:ascii="Arial" w:hAnsi="Arial" w:cs="Arial"/>
                <w:color w:val="000000"/>
                <w:sz w:val="22"/>
                <w:szCs w:val="22"/>
              </w:rPr>
            </w:pPr>
            <w:r>
              <w:rPr>
                <w:rFonts w:ascii="Arial" w:hAnsi="Arial" w:cs="Arial"/>
                <w:color w:val="000000"/>
                <w:sz w:val="22"/>
                <w:szCs w:val="22"/>
              </w:rPr>
              <w:t>3</w:t>
            </w:r>
          </w:p>
        </w:tc>
        <w:tc>
          <w:tcPr>
            <w:tcW w:w="4677" w:type="dxa"/>
            <w:tcBorders>
              <w:top w:val="single" w:sz="4" w:space="0" w:color="000000"/>
              <w:left w:val="single" w:sz="4" w:space="0" w:color="000000"/>
              <w:bottom w:val="single" w:sz="4" w:space="0" w:color="000000"/>
              <w:right w:val="single" w:sz="4" w:space="0" w:color="000000"/>
            </w:tcBorders>
          </w:tcPr>
          <w:p w14:paraId="02A9F960" w14:textId="77777777" w:rsidR="00BC7204" w:rsidRDefault="00A4116F">
            <w:pPr>
              <w:widowControl w:val="0"/>
              <w:spacing w:after="0" w:line="240" w:lineRule="auto"/>
              <w:rPr>
                <w:rFonts w:ascii="Arial" w:hAnsi="Arial" w:cs="Arial"/>
              </w:rPr>
            </w:pPr>
            <w:r>
              <w:rPr>
                <w:rFonts w:ascii="Arial" w:hAnsi="Arial" w:cs="Arial"/>
              </w:rPr>
              <w:t xml:space="preserve">A social constructivist view of learning therefore suggests that learning should be ‘participatory, proactive, communal, collaborative and submissive to the construction of meanings rather than receiving them’ (Bruner, 1996: 84). </w:t>
            </w:r>
          </w:p>
          <w:p w14:paraId="02A9F961" w14:textId="77777777" w:rsidR="00BC7204" w:rsidRDefault="00BC7204">
            <w:pPr>
              <w:widowControl w:val="0"/>
              <w:spacing w:after="0" w:line="240" w:lineRule="auto"/>
              <w:rPr>
                <w:rFonts w:ascii="Arial" w:hAnsi="Arial" w:cs="Arial"/>
              </w:rPr>
            </w:pPr>
          </w:p>
        </w:tc>
        <w:tc>
          <w:tcPr>
            <w:tcW w:w="4252" w:type="dxa"/>
            <w:tcBorders>
              <w:top w:val="single" w:sz="4" w:space="0" w:color="000000"/>
              <w:left w:val="single" w:sz="4" w:space="0" w:color="000000"/>
              <w:bottom w:val="single" w:sz="4" w:space="0" w:color="000000"/>
              <w:right w:val="single" w:sz="4" w:space="0" w:color="000000"/>
            </w:tcBorders>
          </w:tcPr>
          <w:p w14:paraId="02A9F962" w14:textId="77777777" w:rsidR="00BC7204" w:rsidRDefault="00BC7204">
            <w:pPr>
              <w:widowControl w:val="0"/>
              <w:spacing w:after="0" w:line="240" w:lineRule="auto"/>
              <w:rPr>
                <w:rFonts w:ascii="Arial" w:hAnsi="Arial" w:cs="Arial"/>
              </w:rPr>
            </w:pPr>
          </w:p>
          <w:p w14:paraId="02A9F963" w14:textId="77777777" w:rsidR="00BC7204" w:rsidRDefault="00A4116F">
            <w:pPr>
              <w:widowControl w:val="0"/>
              <w:spacing w:after="0" w:line="240" w:lineRule="auto"/>
              <w:rPr>
                <w:rFonts w:ascii="Arial" w:hAnsi="Arial" w:cs="Arial"/>
              </w:rPr>
            </w:pPr>
            <w:r>
              <w:rPr>
                <w:rFonts w:ascii="Arial" w:hAnsi="Arial" w:cs="Arial"/>
              </w:rPr>
              <w:t xml:space="preserve">           Learning should be ‘participatory, proactive, communal, collaborative and given over to the construction of meanings rather than receiving them’ (Bruner, 1996, p. 84).</w:t>
            </w:r>
          </w:p>
          <w:p w14:paraId="02A9F964" w14:textId="77777777" w:rsidR="00BC7204" w:rsidRDefault="00BC7204">
            <w:pPr>
              <w:widowControl w:val="0"/>
              <w:spacing w:after="0" w:line="240" w:lineRule="auto"/>
              <w:rPr>
                <w:rFonts w:ascii="Arial" w:hAnsi="Arial" w:cs="Arial"/>
                <w:color w:val="000000"/>
                <w:sz w:val="22"/>
                <w:szCs w:val="22"/>
              </w:rPr>
            </w:pPr>
          </w:p>
        </w:tc>
        <w:tc>
          <w:tcPr>
            <w:tcW w:w="1418" w:type="dxa"/>
            <w:tcBorders>
              <w:top w:val="single" w:sz="4" w:space="0" w:color="000000"/>
              <w:left w:val="single" w:sz="4" w:space="0" w:color="000000"/>
              <w:bottom w:val="single" w:sz="4" w:space="0" w:color="000000"/>
              <w:right w:val="single" w:sz="4" w:space="0" w:color="000000"/>
            </w:tcBorders>
          </w:tcPr>
          <w:p w14:paraId="02A9F965" w14:textId="77777777" w:rsidR="00BC7204" w:rsidRDefault="00A4116F">
            <w:pPr>
              <w:widowControl w:val="0"/>
              <w:spacing w:after="0" w:line="240" w:lineRule="auto"/>
              <w:rPr>
                <w:rFonts w:ascii="Arial" w:hAnsi="Arial" w:cs="Arial"/>
                <w:color w:val="000000"/>
                <w:sz w:val="22"/>
                <w:szCs w:val="22"/>
              </w:rPr>
            </w:pPr>
            <w:r>
              <w:rPr>
                <w:rFonts w:ascii="Arial" w:hAnsi="Arial" w:cs="Arial"/>
                <w:color w:val="000000"/>
                <w:sz w:val="22"/>
                <w:szCs w:val="22"/>
              </w:rPr>
              <w:t>Verbatim text</w:t>
            </w:r>
          </w:p>
        </w:tc>
        <w:tc>
          <w:tcPr>
            <w:tcW w:w="1630" w:type="dxa"/>
            <w:tcBorders>
              <w:top w:val="single" w:sz="4" w:space="0" w:color="000000"/>
              <w:left w:val="single" w:sz="4" w:space="0" w:color="000000"/>
              <w:bottom w:val="single" w:sz="4" w:space="0" w:color="000000"/>
              <w:right w:val="single" w:sz="4" w:space="0" w:color="000000"/>
            </w:tcBorders>
          </w:tcPr>
          <w:p w14:paraId="02A9F966" w14:textId="77777777" w:rsidR="00BC7204" w:rsidRDefault="00BC7204">
            <w:pPr>
              <w:widowControl w:val="0"/>
              <w:spacing w:after="0" w:line="240" w:lineRule="auto"/>
              <w:rPr>
                <w:rFonts w:ascii="Arial" w:hAnsi="Arial" w:cs="Arial"/>
                <w:sz w:val="22"/>
                <w:szCs w:val="22"/>
              </w:rPr>
            </w:pPr>
          </w:p>
        </w:tc>
      </w:tr>
      <w:tr w:rsidR="00BC7204" w14:paraId="02A9F977" w14:textId="77777777">
        <w:tc>
          <w:tcPr>
            <w:tcW w:w="845" w:type="dxa"/>
            <w:tcBorders>
              <w:top w:val="single" w:sz="4" w:space="0" w:color="000000"/>
              <w:left w:val="single" w:sz="4" w:space="0" w:color="000000"/>
              <w:bottom w:val="single" w:sz="4" w:space="0" w:color="000000"/>
              <w:right w:val="single" w:sz="4" w:space="0" w:color="000000"/>
            </w:tcBorders>
          </w:tcPr>
          <w:p w14:paraId="02A9F968" w14:textId="77777777" w:rsidR="00BC7204" w:rsidRDefault="00BC7204">
            <w:pPr>
              <w:widowControl w:val="0"/>
              <w:spacing w:after="0" w:line="240" w:lineRule="auto"/>
              <w:rPr>
                <w:rFonts w:ascii="Arial" w:hAnsi="Arial" w:cs="Arial"/>
                <w:color w:val="000000"/>
                <w:sz w:val="22"/>
                <w:szCs w:val="22"/>
              </w:rPr>
            </w:pPr>
          </w:p>
        </w:tc>
        <w:tc>
          <w:tcPr>
            <w:tcW w:w="1135" w:type="dxa"/>
            <w:tcBorders>
              <w:top w:val="single" w:sz="4" w:space="0" w:color="000000"/>
              <w:left w:val="single" w:sz="4" w:space="0" w:color="000000"/>
              <w:bottom w:val="single" w:sz="4" w:space="0" w:color="000000"/>
              <w:right w:val="single" w:sz="4" w:space="0" w:color="000000"/>
            </w:tcBorders>
          </w:tcPr>
          <w:p w14:paraId="02A9F969" w14:textId="77777777" w:rsidR="00BC7204" w:rsidRDefault="00A4116F">
            <w:pPr>
              <w:widowControl w:val="0"/>
              <w:spacing w:after="0" w:line="240" w:lineRule="auto"/>
              <w:rPr>
                <w:rFonts w:ascii="Arial" w:hAnsi="Arial" w:cs="Arial"/>
                <w:color w:val="000000"/>
                <w:sz w:val="22"/>
                <w:szCs w:val="22"/>
              </w:rPr>
            </w:pPr>
            <w:r>
              <w:rPr>
                <w:rFonts w:ascii="Arial" w:hAnsi="Arial" w:cs="Arial"/>
                <w:color w:val="000000"/>
                <w:sz w:val="22"/>
                <w:szCs w:val="22"/>
              </w:rPr>
              <w:t>3</w:t>
            </w:r>
          </w:p>
        </w:tc>
        <w:tc>
          <w:tcPr>
            <w:tcW w:w="4677" w:type="dxa"/>
            <w:tcBorders>
              <w:top w:val="single" w:sz="4" w:space="0" w:color="000000"/>
              <w:left w:val="single" w:sz="4" w:space="0" w:color="000000"/>
              <w:bottom w:val="single" w:sz="4" w:space="0" w:color="000000"/>
              <w:right w:val="single" w:sz="4" w:space="0" w:color="000000"/>
            </w:tcBorders>
          </w:tcPr>
          <w:p w14:paraId="02A9F96A" w14:textId="77777777" w:rsidR="00BC7204" w:rsidRDefault="00A4116F">
            <w:pPr>
              <w:widowControl w:val="0"/>
              <w:spacing w:after="0" w:line="240" w:lineRule="auto"/>
              <w:rPr>
                <w:rFonts w:ascii="Arial" w:hAnsi="Arial" w:cs="Arial"/>
              </w:rPr>
            </w:pPr>
            <w:r>
              <w:rPr>
                <w:rFonts w:ascii="Arial" w:hAnsi="Arial" w:cs="Arial"/>
              </w:rPr>
              <w:t>Importantly, this has impacted on the experience of pedagogical learning for student teachers and in-service teachers immersed within learning communities, as the emergence of this dialogue encourages practitioners and learners alike to engage in a constructivist learning philosophy (Kensington-Miller, 2011)</w:t>
            </w:r>
          </w:p>
          <w:p w14:paraId="02A9F96B" w14:textId="77777777" w:rsidR="00BC7204" w:rsidRDefault="00BC7204">
            <w:pPr>
              <w:widowControl w:val="0"/>
              <w:rPr>
                <w:rFonts w:ascii="Arial" w:hAnsi="Arial" w:cs="Arial"/>
                <w:color w:val="000000"/>
                <w:sz w:val="22"/>
                <w:szCs w:val="22"/>
              </w:rPr>
            </w:pPr>
          </w:p>
          <w:p w14:paraId="02A9F96C" w14:textId="77777777" w:rsidR="00BC7204" w:rsidRDefault="00BC7204">
            <w:pPr>
              <w:widowControl w:val="0"/>
              <w:rPr>
                <w:rFonts w:ascii="Arial" w:hAnsi="Arial" w:cs="Arial"/>
                <w:color w:val="000000"/>
              </w:rPr>
            </w:pPr>
          </w:p>
          <w:p w14:paraId="02A9F96D" w14:textId="77777777" w:rsidR="00BC7204" w:rsidRDefault="00A4116F">
            <w:pPr>
              <w:widowControl w:val="0"/>
              <w:rPr>
                <w:rFonts w:ascii="Arial" w:hAnsi="Arial" w:cs="Arial"/>
                <w:b/>
                <w:bCs/>
                <w:color w:val="000000"/>
              </w:rPr>
            </w:pPr>
            <w:r>
              <w:rPr>
                <w:rFonts w:ascii="Arial" w:hAnsi="Arial" w:cs="Arial"/>
                <w:b/>
                <w:bCs/>
                <w:color w:val="000000"/>
              </w:rPr>
              <w:t>Further note:  Le Cornu is mentioned 77 times in Arday’s thesis but only references work from 1999, 2002, 2005 and 2009.</w:t>
            </w:r>
          </w:p>
          <w:p w14:paraId="02A9F96E" w14:textId="77777777" w:rsidR="00BC7204" w:rsidRDefault="00A4116F">
            <w:pPr>
              <w:widowControl w:val="0"/>
              <w:rPr>
                <w:rFonts w:ascii="Arial" w:hAnsi="Arial" w:cs="Arial"/>
                <w:b/>
                <w:bCs/>
                <w:color w:val="000000"/>
              </w:rPr>
            </w:pPr>
            <w:r>
              <w:rPr>
                <w:rFonts w:ascii="Arial" w:hAnsi="Arial" w:cs="Arial"/>
                <w:b/>
                <w:bCs/>
                <w:color w:val="000000"/>
              </w:rPr>
              <w:t>The 2003 paper where large verbatim text originates is not mentioned in Arday’s final reference list</w:t>
            </w:r>
          </w:p>
          <w:p w14:paraId="02A9F96F" w14:textId="77777777" w:rsidR="00BC7204" w:rsidRDefault="00BC7204">
            <w:pPr>
              <w:widowControl w:val="0"/>
              <w:rPr>
                <w:rFonts w:ascii="Arial" w:hAnsi="Arial" w:cs="Arial"/>
                <w:b/>
                <w:bCs/>
                <w:color w:val="000000"/>
                <w:sz w:val="22"/>
                <w:szCs w:val="22"/>
              </w:rPr>
            </w:pPr>
          </w:p>
          <w:p w14:paraId="02A9F970" w14:textId="77777777" w:rsidR="00BC7204" w:rsidRDefault="00BC7204">
            <w:pPr>
              <w:widowControl w:val="0"/>
              <w:rPr>
                <w:rFonts w:ascii="Arial" w:hAnsi="Arial" w:cs="Arial"/>
                <w:b/>
                <w:bCs/>
                <w:color w:val="000000"/>
                <w:sz w:val="22"/>
                <w:szCs w:val="22"/>
              </w:rPr>
            </w:pPr>
          </w:p>
        </w:tc>
        <w:tc>
          <w:tcPr>
            <w:tcW w:w="4252" w:type="dxa"/>
            <w:tcBorders>
              <w:top w:val="single" w:sz="4" w:space="0" w:color="000000"/>
              <w:left w:val="single" w:sz="4" w:space="0" w:color="000000"/>
              <w:bottom w:val="single" w:sz="4" w:space="0" w:color="000000"/>
              <w:right w:val="single" w:sz="4" w:space="0" w:color="000000"/>
            </w:tcBorders>
          </w:tcPr>
          <w:p w14:paraId="02A9F971" w14:textId="77777777" w:rsidR="00BC7204" w:rsidRDefault="00A4116F">
            <w:pPr>
              <w:widowControl w:val="0"/>
              <w:spacing w:after="0" w:line="240" w:lineRule="auto"/>
              <w:rPr>
                <w:rFonts w:ascii="Arial" w:hAnsi="Arial" w:cs="Arial"/>
              </w:rPr>
            </w:pPr>
            <w:r>
              <w:rPr>
                <w:rFonts w:ascii="Arial" w:hAnsi="Arial" w:cs="Arial"/>
              </w:rPr>
              <w:t>While recognising the importance of the construction of personal meaning within teaching and learning, we are particularly interested in the ways teachers and students work together to construct learning cultures that enable this to occur.</w:t>
            </w:r>
          </w:p>
        </w:tc>
        <w:tc>
          <w:tcPr>
            <w:tcW w:w="1418" w:type="dxa"/>
            <w:tcBorders>
              <w:top w:val="single" w:sz="4" w:space="0" w:color="000000"/>
              <w:left w:val="single" w:sz="4" w:space="0" w:color="000000"/>
              <w:bottom w:val="single" w:sz="4" w:space="0" w:color="000000"/>
              <w:right w:val="single" w:sz="4" w:space="0" w:color="000000"/>
            </w:tcBorders>
          </w:tcPr>
          <w:p w14:paraId="02A9F972" w14:textId="77777777" w:rsidR="00BC7204" w:rsidRDefault="00A4116F">
            <w:pPr>
              <w:widowControl w:val="0"/>
              <w:spacing w:after="0" w:line="240" w:lineRule="auto"/>
              <w:rPr>
                <w:rFonts w:ascii="Arial" w:hAnsi="Arial" w:cs="Arial"/>
                <w:color w:val="000000"/>
                <w:sz w:val="22"/>
                <w:szCs w:val="22"/>
              </w:rPr>
            </w:pPr>
            <w:r>
              <w:rPr>
                <w:rFonts w:ascii="Arial" w:hAnsi="Arial" w:cs="Arial"/>
                <w:color w:val="000000"/>
                <w:sz w:val="22"/>
                <w:szCs w:val="22"/>
              </w:rPr>
              <w:t>Close paraphrase</w:t>
            </w:r>
          </w:p>
        </w:tc>
        <w:tc>
          <w:tcPr>
            <w:tcW w:w="1630" w:type="dxa"/>
            <w:tcBorders>
              <w:top w:val="single" w:sz="4" w:space="0" w:color="000000"/>
              <w:left w:val="single" w:sz="4" w:space="0" w:color="000000"/>
              <w:bottom w:val="single" w:sz="4" w:space="0" w:color="000000"/>
              <w:right w:val="single" w:sz="4" w:space="0" w:color="000000"/>
            </w:tcBorders>
          </w:tcPr>
          <w:p w14:paraId="02A9F973" w14:textId="77777777" w:rsidR="00BC7204" w:rsidRDefault="00A4116F">
            <w:pPr>
              <w:widowControl w:val="0"/>
              <w:spacing w:after="0" w:line="240" w:lineRule="auto"/>
              <w:rPr>
                <w:rFonts w:ascii="Arial" w:hAnsi="Arial" w:cs="Arial"/>
              </w:rPr>
            </w:pPr>
            <w:r>
              <w:rPr>
                <w:rFonts w:ascii="Arial" w:hAnsi="Arial" w:cs="Arial"/>
              </w:rPr>
              <w:t>‘Importantly’ for ‘recognising the importance’</w:t>
            </w:r>
          </w:p>
          <w:p w14:paraId="02A9F974" w14:textId="77777777" w:rsidR="00BC7204" w:rsidRDefault="00A4116F">
            <w:pPr>
              <w:widowControl w:val="0"/>
              <w:spacing w:after="0" w:line="240" w:lineRule="auto"/>
              <w:rPr>
                <w:rFonts w:ascii="Arial" w:hAnsi="Arial" w:cs="Arial"/>
              </w:rPr>
            </w:pPr>
            <w:r>
              <w:rPr>
                <w:rFonts w:ascii="Arial" w:hAnsi="Arial" w:cs="Arial"/>
              </w:rPr>
              <w:t>‘</w:t>
            </w:r>
            <w:r>
              <w:rPr>
                <w:rFonts w:ascii="Arial" w:hAnsi="Arial" w:cs="Arial"/>
              </w:rPr>
              <w:t>teachers and students work together’ in Peters and Le Cornu becomes ‘dialogue encourages practitioners and learners alike to engage’</w:t>
            </w:r>
          </w:p>
          <w:p w14:paraId="02A9F975" w14:textId="77777777" w:rsidR="00BC7204" w:rsidRDefault="00BC7204">
            <w:pPr>
              <w:widowControl w:val="0"/>
              <w:spacing w:after="0" w:line="240" w:lineRule="auto"/>
              <w:rPr>
                <w:rFonts w:ascii="Arial" w:hAnsi="Arial" w:cs="Arial"/>
              </w:rPr>
            </w:pPr>
          </w:p>
          <w:p w14:paraId="02A9F976" w14:textId="77777777" w:rsidR="00BC7204" w:rsidRDefault="00A4116F">
            <w:pPr>
              <w:widowControl w:val="0"/>
              <w:spacing w:after="0" w:line="240" w:lineRule="auto"/>
              <w:rPr>
                <w:rFonts w:ascii="Arial" w:hAnsi="Arial" w:cs="Arial"/>
              </w:rPr>
            </w:pPr>
            <w:r>
              <w:rPr>
                <w:rFonts w:ascii="Arial" w:hAnsi="Arial" w:cs="Arial"/>
              </w:rPr>
              <w:t>Again, Arday’s reference - Kensington-Miller, 2011, does not refer to constructivism</w:t>
            </w:r>
          </w:p>
        </w:tc>
      </w:tr>
    </w:tbl>
    <w:p w14:paraId="02A9F978" w14:textId="77777777" w:rsidR="00BC7204" w:rsidRDefault="00BC7204">
      <w:pPr>
        <w:rPr>
          <w:rFonts w:ascii="Arial" w:hAnsi="Arial" w:cs="Arial"/>
          <w:sz w:val="22"/>
          <w:szCs w:val="22"/>
        </w:rPr>
      </w:pPr>
    </w:p>
    <w:sectPr w:rsidR="00BC7204">
      <w:footerReference w:type="default" r:id="rId9"/>
      <w:pgSz w:w="16838" w:h="11906" w:orient="landscape"/>
      <w:pgMar w:top="1440" w:right="1440" w:bottom="1440" w:left="1440" w:header="0" w:footer="0"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344500" w14:textId="77777777" w:rsidR="00A4116F" w:rsidRDefault="00A4116F">
      <w:pPr>
        <w:spacing w:after="0" w:line="240" w:lineRule="auto"/>
      </w:pPr>
      <w:r>
        <w:separator/>
      </w:r>
    </w:p>
  </w:endnote>
  <w:endnote w:type="continuationSeparator" w:id="0">
    <w:p w14:paraId="60733B7B" w14:textId="77777777" w:rsidR="00A4116F" w:rsidRDefault="00A4116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Liberation Sans">
    <w:altName w:val="Arial"/>
    <w:panose1 w:val="020B0604020202020204"/>
    <w:charset w:val="00"/>
    <w:family w:val="swiss"/>
    <w:pitch w:val="variable"/>
    <w:sig w:usb0="E0000AFF" w:usb1="500078FF" w:usb2="00000021" w:usb3="00000000" w:csb0="000001BF" w:csb1="00000000"/>
  </w:font>
  <w:font w:name="Microsoft YaHei">
    <w:panose1 w:val="020B0503020204020204"/>
    <w:charset w:val="00"/>
    <w:family w:val="roman"/>
    <w:notTrueType/>
    <w:pitch w:val="default"/>
  </w:font>
  <w:font w:name="Lucida Sans">
    <w:panose1 w:val="020B0602030504020204"/>
    <w:charset w:val="00"/>
    <w:family w:val="roman"/>
    <w:notTrueType/>
    <w:pitch w:val="default"/>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14947877"/>
      <w:docPartObj>
        <w:docPartGallery w:val="Page Numbers (Bottom of Page)"/>
        <w:docPartUnique/>
      </w:docPartObj>
    </w:sdtPr>
    <w:sdtEndPr/>
    <w:sdtContent>
      <w:p w14:paraId="02A9F979" w14:textId="77777777" w:rsidR="00BC7204" w:rsidRDefault="00A4116F">
        <w:pPr>
          <w:pStyle w:val="Footer"/>
          <w:jc w:val="center"/>
        </w:pPr>
        <w:r>
          <w:fldChar w:fldCharType="begin"/>
        </w:r>
        <w:r>
          <w:instrText xml:space="preserve"> PAGE </w:instrText>
        </w:r>
        <w:r>
          <w:fldChar w:fldCharType="separate"/>
        </w:r>
        <w:r>
          <w:t>5</w:t>
        </w:r>
        <w:r>
          <w:fldChar w:fldCharType="end"/>
        </w:r>
      </w:p>
    </w:sdtContent>
  </w:sdt>
  <w:p w14:paraId="02A9F97A" w14:textId="77777777" w:rsidR="00BC7204" w:rsidRDefault="00BC720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D1058F" w14:textId="77777777" w:rsidR="00A4116F" w:rsidRDefault="00A4116F">
      <w:pPr>
        <w:spacing w:after="0" w:line="240" w:lineRule="auto"/>
      </w:pPr>
      <w:r>
        <w:separator/>
      </w:r>
    </w:p>
  </w:footnote>
  <w:footnote w:type="continuationSeparator" w:id="0">
    <w:p w14:paraId="5A81CDE8" w14:textId="77777777" w:rsidR="00A4116F" w:rsidRDefault="00A4116F">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720"/>
  <w:autoHyphenation/>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7204"/>
    <w:rsid w:val="00086B27"/>
    <w:rsid w:val="00970787"/>
    <w:rsid w:val="00A4116F"/>
    <w:rsid w:val="00BC7204"/>
    <w:rsid w:val="00FD50C4"/>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2A9F8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GB" w:eastAsia="en-US" w:bidi="ar-SA"/>
        <w14:ligatures w14:val="standardContextual"/>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76" w:lineRule="auto"/>
    </w:pPr>
  </w:style>
  <w:style w:type="paragraph" w:styleId="Heading1">
    <w:name w:val="heading 1"/>
    <w:basedOn w:val="Normal"/>
    <w:next w:val="Normal"/>
    <w:link w:val="Heading1Char"/>
    <w:uiPriority w:val="9"/>
    <w:qFormat/>
    <w:rsid w:val="00622DC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622DC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622DC5"/>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622DC5"/>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622DC5"/>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622DC5"/>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622DC5"/>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622DC5"/>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622DC5"/>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qFormat/>
    <w:rsid w:val="00622DC5"/>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qFormat/>
    <w:rsid w:val="00622DC5"/>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qFormat/>
    <w:rsid w:val="00622DC5"/>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qFormat/>
    <w:rsid w:val="00622DC5"/>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qFormat/>
    <w:rsid w:val="00622DC5"/>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qFormat/>
    <w:rsid w:val="00622DC5"/>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qFormat/>
    <w:rsid w:val="00622DC5"/>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qFormat/>
    <w:rsid w:val="00622DC5"/>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qFormat/>
    <w:rsid w:val="00622DC5"/>
    <w:rPr>
      <w:rFonts w:eastAsiaTheme="majorEastAsia" w:cstheme="majorBidi"/>
      <w:color w:val="272727" w:themeColor="text1" w:themeTint="D8"/>
    </w:rPr>
  </w:style>
  <w:style w:type="character" w:customStyle="1" w:styleId="TitleChar">
    <w:name w:val="Title Char"/>
    <w:basedOn w:val="DefaultParagraphFont"/>
    <w:link w:val="Title"/>
    <w:uiPriority w:val="10"/>
    <w:qFormat/>
    <w:rsid w:val="00622DC5"/>
    <w:rPr>
      <w:rFonts w:asciiTheme="majorHAnsi" w:eastAsiaTheme="majorEastAsia" w:hAnsiTheme="majorHAnsi" w:cstheme="majorBidi"/>
      <w:spacing w:val="-10"/>
      <w:kern w:val="2"/>
      <w:sz w:val="56"/>
      <w:szCs w:val="56"/>
    </w:rPr>
  </w:style>
  <w:style w:type="character" w:customStyle="1" w:styleId="SubtitleChar">
    <w:name w:val="Subtitle Char"/>
    <w:basedOn w:val="DefaultParagraphFont"/>
    <w:link w:val="Subtitle"/>
    <w:uiPriority w:val="11"/>
    <w:qFormat/>
    <w:rsid w:val="00622DC5"/>
    <w:rPr>
      <w:rFonts w:eastAsiaTheme="majorEastAsia" w:cstheme="majorBidi"/>
      <w:color w:val="595959" w:themeColor="text1" w:themeTint="A6"/>
      <w:spacing w:val="15"/>
      <w:sz w:val="28"/>
      <w:szCs w:val="28"/>
    </w:rPr>
  </w:style>
  <w:style w:type="character" w:customStyle="1" w:styleId="QuoteChar">
    <w:name w:val="Quote Char"/>
    <w:basedOn w:val="DefaultParagraphFont"/>
    <w:link w:val="Quote"/>
    <w:uiPriority w:val="29"/>
    <w:qFormat/>
    <w:rsid w:val="00622DC5"/>
    <w:rPr>
      <w:i/>
      <w:iCs/>
      <w:color w:val="404040" w:themeColor="text1" w:themeTint="BF"/>
    </w:rPr>
  </w:style>
  <w:style w:type="character" w:styleId="IntenseEmphasis">
    <w:name w:val="Intense Emphasis"/>
    <w:basedOn w:val="DefaultParagraphFont"/>
    <w:uiPriority w:val="21"/>
    <w:qFormat/>
    <w:rsid w:val="00622DC5"/>
    <w:rPr>
      <w:i/>
      <w:iCs/>
      <w:color w:val="0F4761" w:themeColor="accent1" w:themeShade="BF"/>
    </w:rPr>
  </w:style>
  <w:style w:type="character" w:customStyle="1" w:styleId="IntenseQuoteChar">
    <w:name w:val="Intense Quote Char"/>
    <w:basedOn w:val="DefaultParagraphFont"/>
    <w:link w:val="IntenseQuote"/>
    <w:uiPriority w:val="30"/>
    <w:qFormat/>
    <w:rsid w:val="00622DC5"/>
    <w:rPr>
      <w:i/>
      <w:iCs/>
      <w:color w:val="0F4761" w:themeColor="accent1" w:themeShade="BF"/>
    </w:rPr>
  </w:style>
  <w:style w:type="character" w:styleId="IntenseReference">
    <w:name w:val="Intense Reference"/>
    <w:basedOn w:val="DefaultParagraphFont"/>
    <w:uiPriority w:val="32"/>
    <w:qFormat/>
    <w:rsid w:val="00622DC5"/>
    <w:rPr>
      <w:b/>
      <w:bCs/>
      <w:smallCaps/>
      <w:color w:val="0F4761" w:themeColor="accent1" w:themeShade="BF"/>
      <w:spacing w:val="5"/>
    </w:rPr>
  </w:style>
  <w:style w:type="character" w:customStyle="1" w:styleId="HeaderChar">
    <w:name w:val="Header Char"/>
    <w:basedOn w:val="DefaultParagraphFont"/>
    <w:link w:val="Header"/>
    <w:uiPriority w:val="99"/>
    <w:qFormat/>
    <w:rsid w:val="007D378C"/>
  </w:style>
  <w:style w:type="character" w:customStyle="1" w:styleId="FooterChar">
    <w:name w:val="Footer Char"/>
    <w:basedOn w:val="DefaultParagraphFont"/>
    <w:link w:val="Footer"/>
    <w:uiPriority w:val="99"/>
    <w:qFormat/>
    <w:rsid w:val="007D378C"/>
  </w:style>
  <w:style w:type="character" w:customStyle="1" w:styleId="apple-converted-space">
    <w:name w:val="apple-converted-space"/>
    <w:basedOn w:val="DefaultParagraphFont"/>
    <w:qFormat/>
    <w:rsid w:val="00CB2176"/>
  </w:style>
  <w:style w:type="character" w:styleId="Hyperlink">
    <w:name w:val="Hyperlink"/>
    <w:basedOn w:val="DefaultParagraphFont"/>
    <w:uiPriority w:val="99"/>
    <w:unhideWhenUsed/>
    <w:rsid w:val="00212AB4"/>
    <w:rPr>
      <w:color w:val="467886" w:themeColor="hyperlink"/>
      <w:u w:val="single"/>
    </w:rPr>
  </w:style>
  <w:style w:type="character" w:styleId="UnresolvedMention">
    <w:name w:val="Unresolved Mention"/>
    <w:basedOn w:val="DefaultParagraphFont"/>
    <w:uiPriority w:val="99"/>
    <w:semiHidden/>
    <w:unhideWhenUsed/>
    <w:qFormat/>
    <w:rsid w:val="006A37D0"/>
    <w:rPr>
      <w:color w:val="605E5C"/>
      <w:shd w:val="clear" w:color="auto" w:fill="E1DFDD"/>
    </w:rPr>
  </w:style>
  <w:style w:type="character" w:styleId="FollowedHyperlink">
    <w:name w:val="FollowedHyperlink"/>
    <w:basedOn w:val="DefaultParagraphFont"/>
    <w:uiPriority w:val="99"/>
    <w:semiHidden/>
    <w:unhideWhenUsed/>
    <w:rsid w:val="00794880"/>
    <w:rPr>
      <w:color w:val="96607D" w:themeColor="followedHyperlink"/>
      <w:u w:val="single"/>
    </w:rPr>
  </w:style>
  <w:style w:type="paragraph" w:customStyle="1" w:styleId="Heading">
    <w:name w:val="Heading"/>
    <w:basedOn w:val="Normal"/>
    <w:next w:val="BodyText"/>
    <w:qFormat/>
    <w:pPr>
      <w:keepNext/>
      <w:spacing w:before="240" w:after="120"/>
    </w:pPr>
    <w:rPr>
      <w:rFonts w:ascii="Liberation Sans" w:eastAsia="Microsoft YaHei" w:hAnsi="Liberation Sans" w:cs="Lucida Sans"/>
      <w:sz w:val="28"/>
      <w:szCs w:val="28"/>
    </w:rPr>
  </w:style>
  <w:style w:type="paragraph" w:styleId="BodyText">
    <w:name w:val="Body Text"/>
    <w:basedOn w:val="Normal"/>
    <w:pPr>
      <w:spacing w:after="140"/>
    </w:pPr>
  </w:style>
  <w:style w:type="paragraph" w:styleId="List">
    <w:name w:val="List"/>
    <w:basedOn w:val="BodyText"/>
    <w:rPr>
      <w:rFonts w:cs="Lucida Sans"/>
    </w:rPr>
  </w:style>
  <w:style w:type="paragraph" w:styleId="Caption">
    <w:name w:val="caption"/>
    <w:basedOn w:val="Normal"/>
    <w:qFormat/>
    <w:pPr>
      <w:suppressLineNumbers/>
      <w:spacing w:before="120" w:after="120"/>
    </w:pPr>
    <w:rPr>
      <w:rFonts w:cs="Lucida Sans"/>
      <w:i/>
      <w:iCs/>
    </w:rPr>
  </w:style>
  <w:style w:type="paragraph" w:customStyle="1" w:styleId="Index">
    <w:name w:val="Index"/>
    <w:basedOn w:val="Normal"/>
    <w:qFormat/>
    <w:pPr>
      <w:suppressLineNumbers/>
    </w:pPr>
    <w:rPr>
      <w:rFonts w:cs="Lucida Sans"/>
    </w:rPr>
  </w:style>
  <w:style w:type="paragraph" w:styleId="Title">
    <w:name w:val="Title"/>
    <w:basedOn w:val="Normal"/>
    <w:next w:val="Normal"/>
    <w:link w:val="TitleChar"/>
    <w:uiPriority w:val="10"/>
    <w:qFormat/>
    <w:rsid w:val="00622DC5"/>
    <w:pPr>
      <w:spacing w:after="80" w:line="240" w:lineRule="auto"/>
      <w:contextualSpacing/>
    </w:pPr>
    <w:rPr>
      <w:rFonts w:asciiTheme="majorHAnsi" w:eastAsiaTheme="majorEastAsia" w:hAnsiTheme="majorHAnsi" w:cstheme="majorBidi"/>
      <w:spacing w:val="-10"/>
      <w:sz w:val="56"/>
      <w:szCs w:val="56"/>
    </w:rPr>
  </w:style>
  <w:style w:type="paragraph" w:styleId="Subtitle">
    <w:name w:val="Subtitle"/>
    <w:basedOn w:val="Normal"/>
    <w:next w:val="Normal"/>
    <w:link w:val="SubtitleChar"/>
    <w:uiPriority w:val="11"/>
    <w:qFormat/>
    <w:rsid w:val="00622DC5"/>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622DC5"/>
    <w:pPr>
      <w:spacing w:before="160"/>
      <w:jc w:val="center"/>
    </w:pPr>
    <w:rPr>
      <w:i/>
      <w:iCs/>
      <w:color w:val="404040" w:themeColor="text1" w:themeTint="BF"/>
    </w:rPr>
  </w:style>
  <w:style w:type="paragraph" w:styleId="ListParagraph">
    <w:name w:val="List Paragraph"/>
    <w:basedOn w:val="Normal"/>
    <w:uiPriority w:val="34"/>
    <w:qFormat/>
    <w:rsid w:val="00622DC5"/>
    <w:pPr>
      <w:ind w:left="720"/>
      <w:contextualSpacing/>
    </w:pPr>
  </w:style>
  <w:style w:type="paragraph" w:styleId="IntenseQuote">
    <w:name w:val="Intense Quote"/>
    <w:basedOn w:val="Normal"/>
    <w:next w:val="Normal"/>
    <w:link w:val="IntenseQuoteChar"/>
    <w:uiPriority w:val="30"/>
    <w:qFormat/>
    <w:rsid w:val="00622DC5"/>
    <w:pPr>
      <w:pBdr>
        <w:top w:val="single" w:sz="4" w:space="10" w:color="0F4761"/>
        <w:bottom w:val="single" w:sz="4" w:space="10" w:color="0F4761"/>
      </w:pBdr>
      <w:spacing w:before="360" w:after="360"/>
      <w:ind w:left="864" w:right="864"/>
      <w:jc w:val="center"/>
    </w:pPr>
    <w:rPr>
      <w:i/>
      <w:iCs/>
      <w:color w:val="0F4761" w:themeColor="accent1" w:themeShade="BF"/>
    </w:rPr>
  </w:style>
  <w:style w:type="paragraph" w:customStyle="1" w:styleId="TableContents">
    <w:name w:val="Table Contents"/>
    <w:basedOn w:val="Normal"/>
    <w:qFormat/>
    <w:pPr>
      <w:widowControl w:val="0"/>
      <w:suppressLineNumbers/>
    </w:pPr>
  </w:style>
  <w:style w:type="paragraph" w:customStyle="1" w:styleId="TableHeading">
    <w:name w:val="Table Heading"/>
    <w:basedOn w:val="TableContents"/>
    <w:qFormat/>
    <w:pPr>
      <w:jc w:val="center"/>
    </w:pPr>
    <w:rPr>
      <w:b/>
      <w:bCs/>
    </w:rPr>
  </w:style>
  <w:style w:type="paragraph" w:customStyle="1" w:styleId="TableNormal1">
    <w:name w:val="Table Normal1"/>
    <w:qFormat/>
    <w:pPr>
      <w:spacing w:after="160" w:line="276" w:lineRule="auto"/>
    </w:pPr>
    <w:rPr>
      <w:rFonts w:cs="Times New Roman"/>
    </w:rPr>
  </w:style>
  <w:style w:type="paragraph" w:customStyle="1" w:styleId="HeaderandFooter">
    <w:name w:val="Header and Footer"/>
    <w:basedOn w:val="Normal"/>
    <w:qFormat/>
  </w:style>
  <w:style w:type="paragraph" w:styleId="Header">
    <w:name w:val="header"/>
    <w:basedOn w:val="Normal"/>
    <w:link w:val="HeaderChar"/>
    <w:uiPriority w:val="99"/>
    <w:unhideWhenUsed/>
    <w:rsid w:val="007D378C"/>
    <w:pPr>
      <w:tabs>
        <w:tab w:val="center" w:pos="4513"/>
        <w:tab w:val="right" w:pos="9026"/>
      </w:tabs>
      <w:spacing w:after="0" w:line="240" w:lineRule="auto"/>
    </w:pPr>
  </w:style>
  <w:style w:type="paragraph" w:styleId="Footer">
    <w:name w:val="footer"/>
    <w:basedOn w:val="Normal"/>
    <w:link w:val="FooterChar"/>
    <w:uiPriority w:val="99"/>
    <w:unhideWhenUsed/>
    <w:rsid w:val="007D378C"/>
    <w:pPr>
      <w:tabs>
        <w:tab w:val="center" w:pos="4513"/>
        <w:tab w:val="right" w:pos="9026"/>
      </w:tabs>
      <w:spacing w:after="0" w:line="240" w:lineRule="auto"/>
    </w:pPr>
  </w:style>
  <w:style w:type="table" w:styleId="TableGrid">
    <w:name w:val="Table Grid"/>
    <w:basedOn w:val="TableNormal"/>
    <w:uiPriority w:val="39"/>
    <w:rsid w:val="00622DC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https://www.pure.ed.ac.uk/ws/portalfiles/portal/19075219/ChristieMentoringTIHE.pdf" TargetMode="External"/><Relationship Id="rId3" Type="http://schemas.openxmlformats.org/officeDocument/2006/relationships/settings" Target="settings.xml"/><Relationship Id="rId7" Type="http://schemas.openxmlformats.org/officeDocument/2006/relationships/hyperlink" Target="https://ojs.cumbria.ac.uk/index.php/TEAN/article/view/192"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B99343-8390-48D7-B131-7E37DF6F1E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990</Words>
  <Characters>6022</Characters>
  <Application>Microsoft Office Word</Application>
  <DocSecurity>0</DocSecurity>
  <Lines>376</Lines>
  <Paragraphs>82</Paragraphs>
  <ScaleCrop>false</ScaleCrop>
  <Company/>
  <LinksUpToDate>false</LinksUpToDate>
  <CharactersWithSpaces>6930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dc:description/>
  <cp:lastModifiedBy/>
  <cp:revision>1</cp:revision>
  <dcterms:created xsi:type="dcterms:W3CDTF">2026-07-27T10:25:00Z</dcterms:created>
  <dcterms:modified xsi:type="dcterms:W3CDTF">2026-07-27T10:25:00Z</dcterms:modified>
  <dc:language/>
</cp:coreProperties>
</file>